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adjustRightInd w:val="0"/>
        <w:snapToGrid w:val="0"/>
        <w:spacing w:before="0" w:after="0"/>
        <w:ind w:firstLine="154" w:firstLineChars="50"/>
        <w:rPr>
          <w:rStyle w:val="9"/>
          <w:rFonts w:ascii="黑体" w:eastAsia="黑体"/>
          <w:b w:val="0"/>
          <w:color w:val="000000"/>
          <w:sz w:val="32"/>
        </w:rPr>
      </w:pPr>
      <w:r>
        <w:rPr>
          <w:rStyle w:val="9"/>
          <w:rFonts w:hint="eastAsia" w:ascii="黑体" w:eastAsia="黑体"/>
          <w:b w:val="0"/>
          <w:color w:val="000000"/>
          <w:sz w:val="32"/>
        </w:rPr>
        <w:t>附1</w:t>
      </w:r>
    </w:p>
    <w:p>
      <w:pPr>
        <w:rPr>
          <w:sz w:val="28"/>
        </w:rPr>
      </w:pPr>
    </w:p>
    <w:p>
      <w:pPr>
        <w:rPr>
          <w:sz w:val="28"/>
        </w:rPr>
      </w:pPr>
    </w:p>
    <w:p>
      <w:pPr>
        <w:rPr>
          <w:sz w:val="28"/>
        </w:rPr>
      </w:pPr>
    </w:p>
    <w:p>
      <w:pPr>
        <w:jc w:val="center"/>
        <w:rPr>
          <w:rFonts w:eastAsia="黑体"/>
          <w:sz w:val="72"/>
        </w:rPr>
      </w:pPr>
      <w:r>
        <w:rPr>
          <w:rFonts w:eastAsia="黑体"/>
          <w:sz w:val="72"/>
        </w:rPr>
        <w:t>危险废物管理计划</w:t>
      </w:r>
    </w:p>
    <w:p>
      <w:pPr>
        <w:rPr>
          <w:sz w:val="28"/>
        </w:rPr>
      </w:pPr>
    </w:p>
    <w:p>
      <w:pPr>
        <w:rPr>
          <w:sz w:val="28"/>
        </w:rPr>
      </w:pPr>
    </w:p>
    <w:p>
      <w:pPr>
        <w:rPr>
          <w:sz w:val="28"/>
        </w:rPr>
      </w:pPr>
    </w:p>
    <w:p>
      <w:pPr>
        <w:rPr>
          <w:sz w:val="28"/>
        </w:rPr>
      </w:pPr>
    </w:p>
    <w:p>
      <w:pPr>
        <w:rPr>
          <w:sz w:val="28"/>
        </w:rPr>
      </w:pPr>
    </w:p>
    <w:p>
      <w:pPr>
        <w:rPr>
          <w:sz w:val="28"/>
        </w:rPr>
      </w:pPr>
    </w:p>
    <w:p>
      <w:pPr>
        <w:spacing w:before="100" w:beforeAutospacing="1" w:after="100" w:afterAutospacing="1"/>
        <w:rPr>
          <w:rFonts w:eastAsia="黑体"/>
          <w:sz w:val="32"/>
        </w:rPr>
      </w:pPr>
    </w:p>
    <w:p>
      <w:pPr>
        <w:spacing w:before="100" w:beforeAutospacing="1" w:after="100" w:afterAutospacing="1"/>
        <w:rPr>
          <w:rFonts w:eastAsia="黑体"/>
          <w:sz w:val="32"/>
          <w:u w:val="single"/>
        </w:rPr>
      </w:pPr>
      <w:r>
        <w:rPr>
          <w:rFonts w:eastAsia="黑体"/>
          <w:sz w:val="32"/>
        </w:rPr>
        <w:t>单位名称（盖章</w:t>
      </w:r>
      <w:r>
        <w:rPr>
          <w:rFonts w:hint="eastAsia" w:eastAsia="黑体"/>
          <w:sz w:val="32"/>
          <w:lang w:eastAsia="zh-CN"/>
        </w:rPr>
        <w:t>）</w:t>
      </w:r>
      <w:r>
        <w:rPr>
          <w:rFonts w:eastAsia="黑体"/>
          <w:sz w:val="32"/>
        </w:rPr>
        <w:t>：</w:t>
      </w:r>
      <w:r>
        <w:rPr>
          <w:rFonts w:hint="eastAsia" w:eastAsia="黑体"/>
          <w:sz w:val="32"/>
          <w:lang w:val="en-US" w:eastAsia="zh-CN"/>
        </w:rPr>
        <w:t>宁夏华御化工有限公司</w:t>
      </w:r>
      <w:r>
        <w:rPr>
          <w:rFonts w:eastAsia="黑体"/>
          <w:sz w:val="32"/>
        </w:rPr>
        <w:t xml:space="preserve">  </w:t>
      </w:r>
      <w:r>
        <w:rPr>
          <w:rFonts w:hint="eastAsia" w:eastAsia="黑体"/>
          <w:sz w:val="32"/>
        </w:rPr>
        <w:tab/>
      </w:r>
      <w:r>
        <w:rPr>
          <w:rFonts w:eastAsia="黑体"/>
          <w:sz w:val="32"/>
        </w:rPr>
        <w:t xml:space="preserve">                                    </w:t>
      </w:r>
    </w:p>
    <w:p>
      <w:pPr>
        <w:spacing w:before="100" w:beforeAutospacing="1" w:after="100" w:afterAutospacing="1"/>
        <w:rPr>
          <w:rFonts w:hint="default" w:eastAsia="黑体"/>
          <w:sz w:val="32"/>
          <w:lang w:val="en-US" w:eastAsia="zh-CN"/>
        </w:rPr>
      </w:pPr>
      <w:r>
        <w:rPr>
          <w:rFonts w:eastAsia="黑体"/>
          <w:sz w:val="32"/>
        </w:rPr>
        <w:t>制  定  日  期</w:t>
      </w:r>
      <w:r>
        <w:rPr>
          <w:rFonts w:hint="eastAsia" w:eastAsia="黑体"/>
          <w:sz w:val="32"/>
          <w:lang w:val="en-US" w:eastAsia="zh-CN"/>
        </w:rPr>
        <w:t xml:space="preserve"> </w:t>
      </w:r>
      <w:r>
        <w:rPr>
          <w:rFonts w:eastAsia="黑体"/>
          <w:sz w:val="32"/>
        </w:rPr>
        <w:t>：</w:t>
      </w:r>
      <w:r>
        <w:rPr>
          <w:rFonts w:hint="eastAsia" w:eastAsia="黑体"/>
          <w:sz w:val="32"/>
          <w:u/>
          <w:lang w:val="en-US" w:eastAsia="zh-CN"/>
        </w:rPr>
        <w:t xml:space="preserve">  </w:t>
      </w:r>
      <w:r>
        <w:rPr>
          <w:rFonts w:eastAsia=""/>
          <w:sz w:val="32"/>
          <w:u w:color="auto"/>
        </w:rPr>
        <w:t>2025-09-05</w:t>
      </w:r>
    </w:p>
    <w:p>
      <w:pPr>
        <w:keepNext w:val="0"/>
        <w:keepLines w:val="0"/>
        <w:pageBreakBefore w:val="0"/>
        <w:widowControl w:val="0"/>
        <w:tabs>
          <w:tab w:val="left" w:pos="5983"/>
        </w:tabs>
        <w:kinsoku/>
        <w:wordWrap/>
        <w:overflowPunct/>
        <w:topLinePunct w:val="0"/>
        <w:autoSpaceDE/>
        <w:autoSpaceDN/>
        <w:bidi w:val="0"/>
        <w:adjustRightInd/>
        <w:snapToGrid/>
        <w:textAlignment w:val="auto"/>
        <w:rPr>
          <w:rFonts w:hint="eastAsia" w:eastAsiaTheme="minorEastAsia"/>
          <w:sz w:val="13"/>
          <w:szCs w:val="13"/>
          <w:lang w:eastAsia="zh-CN"/>
        </w:rPr>
      </w:pPr>
    </w:p>
    <w:p>
      <w:pPr>
        <w:keepNext w:val="0"/>
        <w:keepLines w:val="0"/>
        <w:pageBreakBefore w:val="0"/>
        <w:widowControl w:val="0"/>
        <w:tabs>
          <w:tab w:val="left" w:pos="5983"/>
        </w:tabs>
        <w:kinsoku/>
        <w:wordWrap/>
        <w:overflowPunct/>
        <w:topLinePunct w:val="0"/>
        <w:autoSpaceDE/>
        <w:autoSpaceDN/>
        <w:bidi w:val="0"/>
        <w:adjustRightInd/>
        <w:snapToGrid/>
        <w:textAlignment w:val="auto"/>
        <w:rPr>
          <w:rFonts w:hint="eastAsia" w:eastAsiaTheme="minorEastAsia"/>
          <w:sz w:val="13"/>
          <w:szCs w:val="13"/>
          <w:lang w:eastAsia="zh-CN"/>
        </w:rPr>
      </w:pPr>
    </w:p>
    <w:p>
      <w:pPr>
        <w:keepNext w:val="0"/>
        <w:keepLines w:val="0"/>
        <w:pageBreakBefore w:val="0"/>
        <w:widowControl w:val="0"/>
        <w:tabs>
          <w:tab w:val="left" w:pos="5983"/>
        </w:tabs>
        <w:kinsoku/>
        <w:wordWrap/>
        <w:overflowPunct/>
        <w:topLinePunct w:val="0"/>
        <w:autoSpaceDE/>
        <w:autoSpaceDN/>
        <w:bidi w:val="0"/>
        <w:adjustRightInd/>
        <w:snapToGrid/>
        <w:textAlignment w:val="auto"/>
        <w:rPr>
          <w:rFonts w:hint="eastAsia" w:eastAsiaTheme="minorEastAsia"/>
          <w:sz w:val="13"/>
          <w:szCs w:val="13"/>
          <w:lang w:eastAsia="zh-CN"/>
        </w:rPr>
      </w:pPr>
    </w:p>
    <w:p>
      <w:pPr>
        <w:keepNext w:val="0"/>
        <w:keepLines w:val="0"/>
        <w:pageBreakBefore w:val="0"/>
        <w:widowControl w:val="0"/>
        <w:tabs>
          <w:tab w:val="left" w:pos="5983"/>
        </w:tabs>
        <w:kinsoku/>
        <w:wordWrap/>
        <w:overflowPunct/>
        <w:topLinePunct w:val="0"/>
        <w:autoSpaceDE/>
        <w:autoSpaceDN/>
        <w:bidi w:val="0"/>
        <w:adjustRightInd/>
        <w:snapToGrid/>
        <w:textAlignment w:val="auto"/>
        <w:rPr>
          <w:rFonts w:hint="eastAsia" w:eastAsiaTheme="minorEastAsia"/>
          <w:sz w:val="13"/>
          <w:szCs w:val="13"/>
          <w:lang w:eastAsia="zh-CN"/>
        </w:rPr>
      </w:pPr>
    </w:p>
    <w:p>
      <w:pPr>
        <w:keepNext w:val="0"/>
        <w:keepLines w:val="0"/>
        <w:pageBreakBefore w:val="0"/>
        <w:widowControl w:val="0"/>
        <w:tabs>
          <w:tab w:val="left" w:pos="5983"/>
        </w:tabs>
        <w:kinsoku/>
        <w:wordWrap/>
        <w:overflowPunct/>
        <w:topLinePunct w:val="0"/>
        <w:autoSpaceDE/>
        <w:autoSpaceDN/>
        <w:bidi w:val="0"/>
        <w:adjustRightInd/>
        <w:snapToGrid/>
        <w:textAlignment w:val="auto"/>
        <w:rPr>
          <w:rFonts w:hint="eastAsia" w:eastAsiaTheme="minorEastAsia"/>
          <w:sz w:val="13"/>
          <w:szCs w:val="13"/>
          <w:lang w:eastAsia="zh-CN"/>
        </w:rPr>
        <w:sectPr>
          <w:headerReference r:id="rId3" w:type="default"/>
          <w:pgSz w:w="11906" w:h="16838"/>
          <w:pgMar w:top="1440" w:right="1800" w:bottom="1440" w:left="1800" w:header="851" w:footer="992" w:gutter="0"/>
          <w:cols w:space="425" w:num="1"/>
          <w:docGrid w:type="lines" w:linePitch="312" w:charSpace="0"/>
        </w:sectPr>
      </w:pPr>
    </w:p>
    <w:p>
      <w:pPr>
        <w:ind w:left="5040" w:leftChars="0" w:firstLine="420" w:firstLineChars="0"/>
      </w:pPr>
      <w:r>
        <w:rPr>
          <w:rFonts w:ascii="黑体" w:hAnsi="黑体" w:eastAsia="黑体" w:cs="黑体"/>
          <w:spacing w:val="-8"/>
          <w:sz w:val="30"/>
          <w:szCs w:val="30"/>
        </w:rPr>
        <w:t>表</w:t>
      </w:r>
      <w:r>
        <w:rPr>
          <w:rFonts w:ascii="黑体" w:hAnsi="黑体" w:eastAsia="黑体" w:cs="黑体"/>
          <w:spacing w:val="-4"/>
          <w:sz w:val="30"/>
          <w:szCs w:val="30"/>
        </w:rPr>
        <w:t>1  单位基本信息表</w:t>
      </w:r>
    </w:p>
    <w:tbl>
      <w:tblPr>
        <w:tblStyle w:val="8"/>
        <w:tblpPr w:leftFromText="180" w:rightFromText="180" w:vertAnchor="text" w:horzAnchor="page" w:tblpX="1571" w:tblpY="59"/>
        <w:tblOverlap w:val="never"/>
        <w:tblW w:w="5008"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3612"/>
        <w:gridCol w:w="3477"/>
        <w:gridCol w:w="3317"/>
        <w:gridCol w:w="36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289" w:type="pct"/>
            <w:tcBorders>
              <w:left w:val="single" w:color="000000" w:sz="10" w:space="0"/>
            </w:tcBorders>
            <w:vAlign w:val="center"/>
          </w:tcPr>
          <w:p>
            <w:pPr>
              <w:spacing w:before="75" w:line="220" w:lineRule="auto"/>
              <w:ind w:left="780" w:firstLine="528" w:firstLineChars="300"/>
              <w:jc w:val="both"/>
              <w:rPr>
                <w:rFonts w:ascii="宋体" w:hAnsi="宋体" w:eastAsia="宋体" w:cs="宋体"/>
                <w:sz w:val="18"/>
                <w:szCs w:val="18"/>
              </w:rPr>
            </w:pPr>
            <w:r>
              <w:rPr>
                <w:rFonts w:ascii="宋体" w:hAnsi="宋体" w:eastAsia="宋体" w:cs="宋体"/>
                <w:spacing w:val="-2"/>
                <w:sz w:val="18"/>
                <w:szCs w:val="18"/>
              </w:rPr>
              <w:t>单位名</w:t>
            </w:r>
            <w:r>
              <w:rPr>
                <w:rFonts w:ascii="宋体" w:hAnsi="宋体" w:eastAsia="宋体" w:cs="宋体"/>
                <w:spacing w:val="-1"/>
                <w:sz w:val="18"/>
                <w:szCs w:val="18"/>
              </w:rPr>
              <w:t>称</w:t>
            </w:r>
          </w:p>
        </w:tc>
        <w:tc>
          <w:tcPr>
            <w:tcW w:w="1241" w:type="pct"/>
            <w:vAlign w:val="center"/>
          </w:tcPr>
          <w:p>
            <w:pPr>
              <w:jc w:val="center"/>
              <w:rPr>
                <w:rFonts w:hint="default" w:ascii="Arial" w:eastAsiaTheme="minorEastAsia"/>
                <w:sz w:val="21"/>
                <w:lang w:val="en-US" w:eastAsia="zh-CN"/>
              </w:rPr>
            </w:pPr>
            <w:r>
              <w:rPr>
                <w:rFonts w:hint="eastAsia" w:ascii="Arial"/>
                <w:sz w:val="21"/>
                <w:lang w:val="en-US" w:eastAsia="zh-CN"/>
              </w:rPr>
              <w:t>宁夏华御化工有限公司</w:t>
            </w:r>
          </w:p>
        </w:tc>
        <w:tc>
          <w:tcPr>
            <w:tcW w:w="1184" w:type="pct"/>
            <w:vAlign w:val="center"/>
          </w:tcPr>
          <w:p>
            <w:pPr>
              <w:spacing w:before="75" w:line="221" w:lineRule="auto"/>
              <w:ind w:left="890" w:firstLine="352" w:firstLineChars="200"/>
              <w:jc w:val="both"/>
              <w:rPr>
                <w:rFonts w:ascii="宋体" w:hAnsi="宋体" w:eastAsia="宋体" w:cs="宋体"/>
                <w:sz w:val="18"/>
                <w:szCs w:val="18"/>
              </w:rPr>
            </w:pPr>
            <w:r>
              <w:rPr>
                <w:rFonts w:ascii="宋体" w:hAnsi="宋体" w:eastAsia="宋体" w:cs="宋体"/>
                <w:spacing w:val="-2"/>
                <w:sz w:val="18"/>
                <w:szCs w:val="18"/>
              </w:rPr>
              <w:t>注册</w:t>
            </w:r>
            <w:r>
              <w:rPr>
                <w:rFonts w:ascii="宋体" w:hAnsi="宋体" w:eastAsia="宋体" w:cs="宋体"/>
                <w:spacing w:val="-1"/>
                <w:sz w:val="18"/>
                <w:szCs w:val="18"/>
              </w:rPr>
              <w:t>地址</w:t>
            </w:r>
          </w:p>
        </w:tc>
        <w:tc>
          <w:tcPr>
            <w:tcW w:w="1285" w:type="pct"/>
            <w:tcBorders>
              <w:right w:val="single" w:color="000000" w:sz="10" w:space="0"/>
            </w:tcBorders>
            <w:vAlign w:val="center"/>
          </w:tcPr>
          <w:p>
            <w:pPr>
              <w:jc w:val="center"/>
              <w:rPr>
                <w:rFonts w:hint="default" w:ascii="Arial" w:eastAsiaTheme="minorEastAsia"/>
                <w:sz w:val="21"/>
                <w:lang w:val="en-US" w:eastAsia="zh-CN"/>
              </w:rPr>
            </w:pPr>
            <w:r>
              <w:rPr>
                <w:rFonts w:hint="eastAsia" w:ascii="Arial"/>
                <w:sz w:val="21"/>
                <w:lang w:val="en-US" w:eastAsia="zh-CN"/>
              </w:rPr>
              <w:t>宁夏中卫市工业园区利华路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289" w:type="pct"/>
            <w:tcBorders>
              <w:left w:val="single" w:color="000000" w:sz="10" w:space="0"/>
            </w:tcBorders>
            <w:vAlign w:val="center"/>
          </w:tcPr>
          <w:p>
            <w:pPr>
              <w:spacing w:before="52" w:line="220" w:lineRule="auto"/>
              <w:ind w:left="420" w:firstLine="712" w:firstLineChars="400"/>
              <w:jc w:val="both"/>
              <w:rPr>
                <w:rFonts w:ascii="宋体" w:hAnsi="宋体" w:eastAsia="宋体" w:cs="宋体"/>
                <w:sz w:val="18"/>
                <w:szCs w:val="18"/>
              </w:rPr>
            </w:pPr>
            <w:r>
              <w:rPr>
                <w:rFonts w:ascii="宋体" w:hAnsi="宋体" w:eastAsia="宋体" w:cs="宋体"/>
                <w:spacing w:val="-1"/>
                <w:sz w:val="18"/>
                <w:szCs w:val="18"/>
              </w:rPr>
              <w:t>生产经营场所地址</w:t>
            </w:r>
          </w:p>
        </w:tc>
        <w:tc>
          <w:tcPr>
            <w:tcW w:w="1241" w:type="pct"/>
            <w:vAlign w:val="center"/>
          </w:tcPr>
          <w:p>
            <w:pPr>
              <w:jc w:val="center"/>
              <w:rPr>
                <w:rFonts w:hint="default" w:ascii="Arial" w:eastAsiaTheme="minorEastAsia"/>
                <w:sz w:val="21"/>
                <w:lang w:val="en-US" w:eastAsia="zh-CN"/>
              </w:rPr>
            </w:pPr>
            <w:r>
              <w:rPr>
                <w:rFonts w:hint="eastAsia" w:ascii="Arial"/>
                <w:sz w:val="21"/>
                <w:lang w:val="en-US" w:eastAsia="zh-CN"/>
              </w:rPr>
              <w:t>宁夏中卫市工业园区利华路</w:t>
            </w:r>
          </w:p>
        </w:tc>
        <w:tc>
          <w:tcPr>
            <w:tcW w:w="1184" w:type="pct"/>
            <w:vAlign w:val="center"/>
          </w:tcPr>
          <w:p>
            <w:pPr>
              <w:spacing w:before="53" w:line="220" w:lineRule="auto"/>
              <w:ind w:left="893" w:firstLine="352" w:firstLineChars="200"/>
              <w:jc w:val="both"/>
              <w:rPr>
                <w:rFonts w:ascii="宋体" w:hAnsi="宋体" w:eastAsia="宋体" w:cs="宋体"/>
                <w:sz w:val="18"/>
                <w:szCs w:val="18"/>
              </w:rPr>
            </w:pPr>
            <w:r>
              <w:rPr>
                <w:rFonts w:ascii="宋体" w:hAnsi="宋体" w:eastAsia="宋体" w:cs="宋体"/>
                <w:spacing w:val="-2"/>
                <w:sz w:val="18"/>
                <w:szCs w:val="18"/>
              </w:rPr>
              <w:t>行政区划</w:t>
            </w:r>
          </w:p>
        </w:tc>
        <w:tc>
          <w:tcPr>
            <w:tcW w:w="1285" w:type="pct"/>
            <w:tcBorders>
              <w:right w:val="single" w:color="000000" w:sz="10" w:space="0"/>
            </w:tcBorders>
            <w:vAlign w:val="center"/>
          </w:tcPr>
          <w:p>
            <w:pPr>
              <w:jc w:val="center"/>
              <w:rPr>
                <w:rFonts w:hint="default" w:ascii="Arial" w:eastAsiaTheme="minorEastAsia"/>
                <w:sz w:val="21"/>
                <w:lang w:val="en-US" w:eastAsia="zh-CN"/>
              </w:rPr>
            </w:pPr>
            <w:r>
              <w:rPr>
                <w:rFonts w:hint="eastAsia" w:ascii="Arial"/>
                <w:sz w:val="21"/>
                <w:lang w:val="en-US" w:eastAsia="zh-CN"/>
              </w:rPr>
              <w:t>中卫市/市辖区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289" w:type="pct"/>
            <w:tcBorders>
              <w:left w:val="single" w:color="000000" w:sz="10" w:space="0"/>
            </w:tcBorders>
            <w:vAlign w:val="center"/>
          </w:tcPr>
          <w:p>
            <w:pPr>
              <w:spacing w:before="53" w:line="220" w:lineRule="auto"/>
              <w:ind w:left="782" w:firstLine="528" w:firstLineChars="300"/>
              <w:jc w:val="both"/>
              <w:rPr>
                <w:rFonts w:ascii="宋体" w:hAnsi="宋体" w:eastAsia="宋体" w:cs="宋体"/>
                <w:sz w:val="18"/>
                <w:szCs w:val="18"/>
              </w:rPr>
            </w:pPr>
            <w:r>
              <w:rPr>
                <w:rFonts w:ascii="宋体" w:hAnsi="宋体" w:eastAsia="宋体" w:cs="宋体"/>
                <w:spacing w:val="-2"/>
                <w:sz w:val="18"/>
                <w:szCs w:val="18"/>
              </w:rPr>
              <w:t>行业类别</w:t>
            </w:r>
          </w:p>
        </w:tc>
        <w:tc>
          <w:tcPr>
            <w:tcW w:w="1241" w:type="pct"/>
            <w:vAlign w:val="center"/>
          </w:tcPr>
          <w:p>
            <w:pPr>
              <w:jc w:val="center"/>
              <w:rPr>
                <w:rFonts w:hint="default" w:ascii="Arial" w:eastAsiaTheme="minorEastAsia"/>
                <w:sz w:val="21"/>
                <w:lang w:val="en-US" w:eastAsia="zh-CN"/>
              </w:rPr>
            </w:pPr>
            <w:r>
              <w:rPr>
                <w:rFonts w:hint="eastAsia" w:ascii="Arial"/>
                <w:sz w:val="21"/>
                <w:lang w:val="en-US" w:eastAsia="zh-CN"/>
              </w:rPr>
              <w:t>有机化学原料制造</w:t>
            </w:r>
          </w:p>
        </w:tc>
        <w:tc>
          <w:tcPr>
            <w:tcW w:w="1184" w:type="pct"/>
            <w:vAlign w:val="center"/>
          </w:tcPr>
          <w:p>
            <w:pPr>
              <w:spacing w:before="53" w:line="220" w:lineRule="auto"/>
              <w:ind w:left="893" w:firstLine="352" w:firstLineChars="200"/>
              <w:jc w:val="both"/>
              <w:rPr>
                <w:rFonts w:ascii="宋体" w:hAnsi="宋体" w:eastAsia="宋体" w:cs="宋体"/>
                <w:sz w:val="18"/>
                <w:szCs w:val="18"/>
              </w:rPr>
            </w:pPr>
            <w:r>
              <w:rPr>
                <w:rFonts w:ascii="宋体" w:hAnsi="宋体" w:eastAsia="宋体" w:cs="宋体"/>
                <w:spacing w:val="-2"/>
                <w:sz w:val="18"/>
                <w:szCs w:val="18"/>
              </w:rPr>
              <w:t>行业代码</w:t>
            </w:r>
          </w:p>
        </w:tc>
        <w:tc>
          <w:tcPr>
            <w:tcW w:w="1285" w:type="pct"/>
            <w:tcBorders>
              <w:right w:val="single" w:color="000000" w:sz="10" w:space="0"/>
            </w:tcBorders>
            <w:vAlign w:val="center"/>
          </w:tcPr>
          <w:p>
            <w:pPr>
              <w:jc w:val="center"/>
              <w:rPr>
                <w:rFonts w:hint="default" w:ascii="Arial" w:eastAsiaTheme="minorEastAsia"/>
                <w:sz w:val="21"/>
                <w:lang w:val="en-US" w:eastAsia="zh-CN"/>
              </w:rPr>
            </w:pPr>
            <w:r>
              <w:rPr>
                <w:rFonts w:hint="eastAsia" w:ascii="Arial"/>
                <w:sz w:val="21"/>
                <w:lang w:val="en-US" w:eastAsia="zh-CN"/>
              </w:rPr>
              <w:t>C2614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289" w:type="pct"/>
            <w:tcBorders>
              <w:left w:val="single" w:color="000000" w:sz="10" w:space="0"/>
            </w:tcBorders>
            <w:vAlign w:val="center"/>
          </w:tcPr>
          <w:p>
            <w:pPr>
              <w:spacing w:before="53" w:line="220" w:lineRule="auto"/>
              <w:ind w:left="240" w:firstLine="712" w:firstLineChars="400"/>
              <w:jc w:val="both"/>
              <w:rPr>
                <w:rFonts w:ascii="宋体" w:hAnsi="宋体" w:eastAsia="宋体" w:cs="宋体"/>
                <w:sz w:val="18"/>
                <w:szCs w:val="18"/>
              </w:rPr>
            </w:pPr>
            <w:r>
              <w:rPr>
                <w:rFonts w:ascii="宋体" w:hAnsi="宋体" w:eastAsia="宋体" w:cs="宋体"/>
                <w:spacing w:val="-1"/>
                <w:sz w:val="18"/>
                <w:szCs w:val="18"/>
              </w:rPr>
              <w:t>生产经营场所中心</w:t>
            </w:r>
            <w:r>
              <w:rPr>
                <w:rFonts w:ascii="宋体" w:hAnsi="宋体" w:eastAsia="宋体" w:cs="宋体"/>
                <w:sz w:val="18"/>
                <w:szCs w:val="18"/>
              </w:rPr>
              <w:t>经度</w:t>
            </w:r>
          </w:p>
        </w:tc>
        <w:tc>
          <w:tcPr>
            <w:tcW w:w="1241" w:type="pct"/>
            <w:vAlign w:val="center"/>
          </w:tcPr>
          <w:p>
            <w:pPr>
              <w:jc w:val="center"/>
              <w:rPr>
                <w:rFonts w:hint="default" w:ascii="Arial" w:eastAsiaTheme="minorEastAsia"/>
                <w:sz w:val="21"/>
                <w:lang w:val="en-US" w:eastAsia="zh-CN"/>
              </w:rPr>
            </w:pPr>
            <w:r>
              <w:rPr>
                <w:rFonts w:hint="eastAsia" w:ascii="Arial"/>
                <w:sz w:val="21"/>
                <w:lang w:val="en-US" w:eastAsia="zh-CN"/>
              </w:rPr>
              <w:t>105.190645</w:t>
            </w:r>
          </w:p>
        </w:tc>
        <w:tc>
          <w:tcPr>
            <w:tcW w:w="1184" w:type="pct"/>
            <w:vAlign w:val="center"/>
          </w:tcPr>
          <w:p>
            <w:pPr>
              <w:spacing w:before="53" w:line="220" w:lineRule="auto"/>
              <w:ind w:left="351" w:firstLine="356" w:firstLineChars="200"/>
              <w:jc w:val="both"/>
              <w:rPr>
                <w:rFonts w:ascii="宋体" w:hAnsi="宋体" w:eastAsia="宋体" w:cs="宋体"/>
                <w:sz w:val="18"/>
                <w:szCs w:val="18"/>
              </w:rPr>
            </w:pPr>
            <w:r>
              <w:rPr>
                <w:rFonts w:ascii="宋体" w:hAnsi="宋体" w:eastAsia="宋体" w:cs="宋体"/>
                <w:spacing w:val="-1"/>
                <w:sz w:val="18"/>
                <w:szCs w:val="18"/>
              </w:rPr>
              <w:t>生产经营场所中心</w:t>
            </w:r>
            <w:r>
              <w:rPr>
                <w:rFonts w:ascii="宋体" w:hAnsi="宋体" w:eastAsia="宋体" w:cs="宋体"/>
                <w:sz w:val="18"/>
                <w:szCs w:val="18"/>
              </w:rPr>
              <w:t>纬度</w:t>
            </w:r>
          </w:p>
        </w:tc>
        <w:tc>
          <w:tcPr>
            <w:tcW w:w="1285" w:type="pct"/>
            <w:tcBorders>
              <w:right w:val="single" w:color="000000" w:sz="10" w:space="0"/>
            </w:tcBorders>
            <w:vAlign w:val="center"/>
          </w:tcPr>
          <w:p>
            <w:pPr>
              <w:jc w:val="center"/>
              <w:rPr>
                <w:rFonts w:hint="default" w:ascii="Arial" w:eastAsiaTheme="minorEastAsia"/>
                <w:sz w:val="21"/>
                <w:lang w:val="en-US" w:eastAsia="zh-CN"/>
              </w:rPr>
            </w:pPr>
            <w:r>
              <w:rPr>
                <w:rFonts w:hint="eastAsia" w:ascii="Arial"/>
                <w:sz w:val="21"/>
                <w:lang w:val="en-US" w:eastAsia="zh-CN"/>
              </w:rPr>
              <w:t>37.661426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289" w:type="pct"/>
            <w:tcBorders>
              <w:left w:val="single" w:color="000000" w:sz="10" w:space="0"/>
            </w:tcBorders>
            <w:vAlign w:val="center"/>
          </w:tcPr>
          <w:p>
            <w:pPr>
              <w:spacing w:before="54" w:line="219" w:lineRule="auto"/>
              <w:ind w:left="423" w:firstLine="704" w:firstLineChars="400"/>
              <w:jc w:val="both"/>
              <w:rPr>
                <w:rFonts w:ascii="宋体" w:hAnsi="宋体" w:eastAsia="宋体" w:cs="宋体"/>
                <w:sz w:val="18"/>
                <w:szCs w:val="18"/>
              </w:rPr>
            </w:pPr>
            <w:r>
              <w:rPr>
                <w:rFonts w:ascii="宋体" w:hAnsi="宋体" w:eastAsia="宋体" w:cs="宋体"/>
                <w:spacing w:val="-2"/>
                <w:sz w:val="18"/>
                <w:szCs w:val="18"/>
              </w:rPr>
              <w:t>统一</w:t>
            </w:r>
            <w:r>
              <w:rPr>
                <w:rFonts w:ascii="宋体" w:hAnsi="宋体" w:eastAsia="宋体" w:cs="宋体"/>
                <w:spacing w:val="-1"/>
                <w:sz w:val="18"/>
                <w:szCs w:val="18"/>
              </w:rPr>
              <w:t>社会信用代码</w:t>
            </w:r>
          </w:p>
        </w:tc>
        <w:tc>
          <w:tcPr>
            <w:tcW w:w="1241" w:type="pct"/>
            <w:vAlign w:val="center"/>
          </w:tcPr>
          <w:p>
            <w:pPr>
              <w:jc w:val="center"/>
              <w:rPr>
                <w:rFonts w:hint="default" w:ascii="Arial" w:eastAsiaTheme="minorEastAsia"/>
                <w:sz w:val="21"/>
                <w:lang w:val="en-US" w:eastAsia="zh-CN"/>
              </w:rPr>
            </w:pPr>
            <w:r>
              <w:rPr>
                <w:rFonts w:hint="eastAsia" w:ascii="Arial"/>
                <w:sz w:val="21"/>
                <w:lang w:val="en-US" w:eastAsia="zh-CN"/>
              </w:rPr>
              <w:t>916405006943218442</w:t>
            </w:r>
          </w:p>
        </w:tc>
        <w:tc>
          <w:tcPr>
            <w:tcW w:w="1184" w:type="pct"/>
            <w:vAlign w:val="center"/>
          </w:tcPr>
          <w:p>
            <w:pPr>
              <w:spacing w:before="54" w:line="220" w:lineRule="auto"/>
              <w:ind w:left="894" w:firstLine="348" w:firstLineChars="200"/>
              <w:jc w:val="both"/>
              <w:rPr>
                <w:rFonts w:ascii="宋体" w:hAnsi="宋体" w:eastAsia="宋体" w:cs="宋体"/>
                <w:sz w:val="18"/>
                <w:szCs w:val="18"/>
              </w:rPr>
            </w:pPr>
            <w:r>
              <w:rPr>
                <w:rFonts w:ascii="宋体" w:hAnsi="宋体" w:eastAsia="宋体" w:cs="宋体"/>
                <w:spacing w:val="-3"/>
                <w:sz w:val="18"/>
                <w:szCs w:val="18"/>
              </w:rPr>
              <w:t>管</w:t>
            </w:r>
            <w:r>
              <w:rPr>
                <w:rFonts w:ascii="宋体" w:hAnsi="宋体" w:eastAsia="宋体" w:cs="宋体"/>
                <w:spacing w:val="-2"/>
                <w:sz w:val="18"/>
                <w:szCs w:val="18"/>
              </w:rPr>
              <w:t>理类别</w:t>
            </w:r>
          </w:p>
        </w:tc>
        <w:tc>
          <w:tcPr>
            <w:tcW w:w="1285" w:type="pct"/>
            <w:tcBorders>
              <w:right w:val="single" w:color="000000" w:sz="10" w:space="0"/>
            </w:tcBorders>
            <w:vAlign w:val="center"/>
          </w:tcPr>
          <w:p>
            <w:pPr>
              <w:jc w:val="center"/>
              <w:rPr>
                <w:rFonts w:hint="default" w:ascii="Arial" w:eastAsiaTheme="minorEastAsia"/>
                <w:sz w:val="21"/>
                <w:lang w:val="en-US" w:eastAsia="zh-CN"/>
              </w:rPr>
            </w:pPr>
            <w:r>
              <w:rPr>
                <w:rFonts w:hint="eastAsia" w:ascii="Arial"/>
                <w:sz w:val="21"/>
                <w:lang w:val="en-US" w:eastAsia="zh-CN"/>
              </w:rPr>
              <w:t>重点监管单位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289" w:type="pct"/>
            <w:tcBorders>
              <w:left w:val="single" w:color="000000" w:sz="10" w:space="0"/>
            </w:tcBorders>
            <w:vAlign w:val="center"/>
          </w:tcPr>
          <w:p>
            <w:pPr>
              <w:spacing w:before="54" w:line="220" w:lineRule="auto"/>
              <w:ind w:left="691" w:firstLine="704" w:firstLineChars="400"/>
              <w:jc w:val="both"/>
              <w:rPr>
                <w:rFonts w:ascii="宋体" w:hAnsi="宋体" w:eastAsia="宋体" w:cs="宋体"/>
                <w:sz w:val="18"/>
                <w:szCs w:val="18"/>
              </w:rPr>
            </w:pPr>
            <w:r>
              <w:rPr>
                <w:rFonts w:ascii="宋体" w:hAnsi="宋体" w:eastAsia="宋体" w:cs="宋体"/>
                <w:spacing w:val="-2"/>
                <w:sz w:val="18"/>
                <w:szCs w:val="18"/>
              </w:rPr>
              <w:t>法定代</w:t>
            </w:r>
            <w:r>
              <w:rPr>
                <w:rFonts w:ascii="宋体" w:hAnsi="宋体" w:eastAsia="宋体" w:cs="宋体"/>
                <w:spacing w:val="-1"/>
                <w:sz w:val="18"/>
                <w:szCs w:val="18"/>
              </w:rPr>
              <w:t>表人</w:t>
            </w:r>
          </w:p>
        </w:tc>
        <w:tc>
          <w:tcPr>
            <w:tcW w:w="1241" w:type="pct"/>
            <w:vAlign w:val="center"/>
          </w:tcPr>
          <w:p>
            <w:pPr>
              <w:jc w:val="center"/>
              <w:rPr>
                <w:rFonts w:hint="default" w:ascii="Arial" w:eastAsiaTheme="minorEastAsia"/>
                <w:sz w:val="21"/>
                <w:lang w:val="en-US" w:eastAsia="zh-CN"/>
              </w:rPr>
            </w:pPr>
            <w:r>
              <w:rPr>
                <w:rFonts w:hint="eastAsia" w:ascii="Arial"/>
                <w:sz w:val="21"/>
                <w:lang w:val="en-US" w:eastAsia="zh-CN"/>
              </w:rPr>
              <w:t>范德芳</w:t>
            </w:r>
          </w:p>
        </w:tc>
        <w:tc>
          <w:tcPr>
            <w:tcW w:w="1184" w:type="pct"/>
            <w:vAlign w:val="center"/>
          </w:tcPr>
          <w:p>
            <w:pPr>
              <w:spacing w:before="54" w:line="222" w:lineRule="auto"/>
              <w:ind w:left="891" w:firstLine="352" w:firstLineChars="200"/>
              <w:jc w:val="both"/>
              <w:rPr>
                <w:rFonts w:ascii="宋体" w:hAnsi="宋体" w:eastAsia="宋体" w:cs="宋体"/>
                <w:sz w:val="18"/>
                <w:szCs w:val="18"/>
              </w:rPr>
            </w:pPr>
            <w:r>
              <w:rPr>
                <w:rFonts w:ascii="宋体" w:hAnsi="宋体" w:eastAsia="宋体" w:cs="宋体"/>
                <w:spacing w:val="-2"/>
                <w:sz w:val="18"/>
                <w:szCs w:val="18"/>
              </w:rPr>
              <w:t>联系</w:t>
            </w:r>
            <w:r>
              <w:rPr>
                <w:rFonts w:ascii="宋体" w:hAnsi="宋体" w:eastAsia="宋体" w:cs="宋体"/>
                <w:spacing w:val="-1"/>
                <w:sz w:val="18"/>
                <w:szCs w:val="18"/>
              </w:rPr>
              <w:t>电话</w:t>
            </w:r>
          </w:p>
        </w:tc>
        <w:tc>
          <w:tcPr>
            <w:tcW w:w="1285" w:type="pct"/>
            <w:tcBorders>
              <w:right w:val="single" w:color="000000" w:sz="10" w:space="0"/>
            </w:tcBorders>
            <w:vAlign w:val="center"/>
          </w:tcPr>
          <w:p>
            <w:pPr>
              <w:jc w:val="center"/>
              <w:rPr>
                <w:rFonts w:hint="default" w:ascii="Arial" w:eastAsiaTheme="minorEastAsia"/>
                <w:sz w:val="21"/>
                <w:lang w:val="en-US" w:eastAsia="zh-CN"/>
              </w:rPr>
            </w:pPr>
            <w:r>
              <w:rPr>
                <w:rFonts w:hint="eastAsia" w:ascii="Arial"/>
                <w:sz w:val="21"/>
                <w:lang w:val="en-US" w:eastAsia="zh-CN"/>
              </w:rPr>
              <w:t>13806204032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289" w:type="pct"/>
            <w:tcBorders>
              <w:left w:val="single" w:color="000000" w:sz="10" w:space="0"/>
            </w:tcBorders>
            <w:vAlign w:val="center"/>
          </w:tcPr>
          <w:p>
            <w:pPr>
              <w:spacing w:before="31" w:line="226" w:lineRule="auto"/>
              <w:ind w:left="1050" w:right="62" w:hanging="990"/>
              <w:jc w:val="center"/>
              <w:rPr>
                <w:rFonts w:ascii="宋体" w:hAnsi="宋体" w:eastAsia="宋体" w:cs="宋体"/>
                <w:sz w:val="18"/>
                <w:szCs w:val="18"/>
              </w:rPr>
            </w:pPr>
            <w:r>
              <w:rPr>
                <w:rFonts w:ascii="宋体" w:hAnsi="宋体" w:eastAsia="宋体" w:cs="宋体"/>
                <w:spacing w:val="-1"/>
                <w:sz w:val="18"/>
                <w:szCs w:val="18"/>
              </w:rPr>
              <w:t>危险废物环境管理技术</w:t>
            </w:r>
            <w:r>
              <w:rPr>
                <w:rFonts w:ascii="宋体" w:hAnsi="宋体" w:eastAsia="宋体" w:cs="宋体"/>
                <w:sz w:val="18"/>
                <w:szCs w:val="18"/>
              </w:rPr>
              <w:t>负责人</w:t>
            </w:r>
          </w:p>
        </w:tc>
        <w:tc>
          <w:tcPr>
            <w:tcW w:w="1241" w:type="pct"/>
            <w:vAlign w:val="center"/>
          </w:tcPr>
          <w:p>
            <w:pPr>
              <w:jc w:val="center"/>
              <w:rPr>
                <w:rFonts w:hint="default" w:ascii="Arial" w:eastAsiaTheme="minorEastAsia"/>
                <w:sz w:val="21"/>
                <w:lang w:val="en-US" w:eastAsia="zh-CN"/>
              </w:rPr>
            </w:pPr>
            <w:r>
              <w:rPr>
                <w:rFonts w:hint="eastAsia" w:ascii="Arial"/>
                <w:sz w:val="21"/>
                <w:lang w:val="en-US" w:eastAsia="zh-CN"/>
              </w:rPr>
              <w:t>顾家立</w:t>
            </w:r>
          </w:p>
        </w:tc>
        <w:tc>
          <w:tcPr>
            <w:tcW w:w="1184" w:type="pct"/>
            <w:vAlign w:val="center"/>
          </w:tcPr>
          <w:p>
            <w:pPr>
              <w:spacing w:before="146" w:line="222" w:lineRule="auto"/>
              <w:ind w:left="891" w:firstLine="352" w:firstLineChars="200"/>
              <w:jc w:val="both"/>
              <w:rPr>
                <w:rFonts w:ascii="宋体" w:hAnsi="宋体" w:eastAsia="宋体" w:cs="宋体"/>
                <w:sz w:val="18"/>
                <w:szCs w:val="18"/>
              </w:rPr>
            </w:pPr>
            <w:r>
              <w:rPr>
                <w:rFonts w:ascii="宋体" w:hAnsi="宋体" w:eastAsia="宋体" w:cs="宋体"/>
                <w:spacing w:val="-2"/>
                <w:sz w:val="18"/>
                <w:szCs w:val="18"/>
              </w:rPr>
              <w:t>联系</w:t>
            </w:r>
            <w:r>
              <w:rPr>
                <w:rFonts w:ascii="宋体" w:hAnsi="宋体" w:eastAsia="宋体" w:cs="宋体"/>
                <w:spacing w:val="-1"/>
                <w:sz w:val="18"/>
                <w:szCs w:val="18"/>
              </w:rPr>
              <w:t>电话</w:t>
            </w:r>
          </w:p>
        </w:tc>
        <w:tc>
          <w:tcPr>
            <w:tcW w:w="1285" w:type="pct"/>
            <w:tcBorders>
              <w:right w:val="single" w:color="000000" w:sz="10" w:space="0"/>
            </w:tcBorders>
            <w:vAlign w:val="center"/>
          </w:tcPr>
          <w:p>
            <w:pPr>
              <w:jc w:val="center"/>
              <w:rPr>
                <w:rFonts w:hint="default" w:ascii="Arial" w:eastAsiaTheme="minorEastAsia"/>
                <w:sz w:val="21"/>
                <w:lang w:val="en-US" w:eastAsia="zh-CN"/>
              </w:rPr>
            </w:pPr>
            <w:r>
              <w:rPr>
                <w:rFonts w:hint="eastAsia" w:ascii="Arial"/>
                <w:sz w:val="21"/>
                <w:lang w:val="en-US" w:eastAsia="zh-CN"/>
              </w:rPr>
              <w:t>0955-7606666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289" w:type="pct"/>
            <w:tcBorders>
              <w:left w:val="single" w:color="000000" w:sz="10" w:space="0"/>
            </w:tcBorders>
            <w:vAlign w:val="center"/>
          </w:tcPr>
          <w:p>
            <w:pPr>
              <w:spacing w:before="22" w:line="212" w:lineRule="auto"/>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是否有环境影响评价审批文件</w:t>
            </w:r>
          </w:p>
        </w:tc>
        <w:tc>
          <w:tcPr>
            <w:tcW w:w="1241" w:type="pct"/>
            <w:vAlign w:val="center"/>
          </w:tcPr>
          <w:p>
            <w:pPr>
              <w:jc w:val="center"/>
              <w:rPr>
                <w:rFonts w:hint="default" w:ascii="Arial" w:eastAsiaTheme="minorEastAsia"/>
                <w:sz w:val="21"/>
                <w:lang w:val="en-US" w:eastAsia="zh-CN"/>
              </w:rPr>
            </w:pPr>
            <w:r>
              <w:rPr>
                <w:rFonts w:hint="eastAsia" w:ascii="Arial"/>
                <w:sz w:val="21"/>
                <w:lang w:val="en-US" w:eastAsia="zh-CN"/>
              </w:rPr>
              <w:t>有</w:t>
            </w:r>
          </w:p>
        </w:tc>
        <w:tc>
          <w:tcPr>
            <w:tcW w:w="1184" w:type="pct"/>
            <w:vAlign w:val="center"/>
          </w:tcPr>
          <w:p>
            <w:pPr>
              <w:spacing w:before="22" w:line="212" w:lineRule="auto"/>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环境影响评价审批文件文号或备案编号</w:t>
            </w:r>
          </w:p>
        </w:tc>
        <w:tc>
          <w:tcPr>
            <w:tcW w:w="1285" w:type="pct"/>
            <w:tcBorders>
              <w:right w:val="single" w:color="000000" w:sz="10" w:space="0"/>
            </w:tcBorders>
            <w:vAlign w:val="center"/>
          </w:tcPr>
          <w:p>
            <w:pPr>
              <w:jc w:val="center"/>
              <w:rPr>
                <w:rFonts w:hint="default" w:ascii="Arial" w:eastAsiaTheme="minorEastAsia"/>
                <w:sz w:val="21"/>
                <w:lang w:val="en-US" w:eastAsia="zh-CN"/>
              </w:rPr>
            </w:pPr>
            <w:r>
              <w:rPr>
                <w:rFonts w:hint="eastAsia" w:ascii="Arial"/>
                <w:sz w:val="21"/>
                <w:lang w:val="en-US" w:eastAsia="zh-CN"/>
              </w:rPr>
              <w:t>卫环函【2023】129号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289" w:type="pct"/>
            <w:tcBorders>
              <w:left w:val="single" w:color="000000" w:sz="10" w:space="0"/>
            </w:tcBorders>
            <w:vAlign w:val="center"/>
          </w:tcPr>
          <w:p>
            <w:pPr>
              <w:spacing w:before="18" w:line="220" w:lineRule="auto"/>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是否有排污许可证或是否进行排污登记</w:t>
            </w:r>
          </w:p>
        </w:tc>
        <w:tc>
          <w:tcPr>
            <w:tcW w:w="1241" w:type="pct"/>
            <w:vAlign w:val="center"/>
          </w:tcPr>
          <w:p>
            <w:pPr>
              <w:jc w:val="center"/>
              <w:rPr>
                <w:rFonts w:hint="default" w:ascii="Arial" w:eastAsiaTheme="minorEastAsia"/>
                <w:sz w:val="21"/>
                <w:lang w:val="en-US" w:eastAsia="zh-CN"/>
              </w:rPr>
            </w:pPr>
            <w:r>
              <w:rPr>
                <w:rFonts w:hint="eastAsia" w:ascii="Arial"/>
                <w:sz w:val="21"/>
                <w:lang w:val="en-US" w:eastAsia="zh-CN"/>
              </w:rPr>
              <w:t>有</w:t>
            </w:r>
          </w:p>
        </w:tc>
        <w:tc>
          <w:tcPr>
            <w:tcW w:w="1184" w:type="pct"/>
            <w:vAlign w:val="center"/>
          </w:tcPr>
          <w:p>
            <w:pPr>
              <w:spacing w:before="19" w:line="220" w:lineRule="auto"/>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排污许可证证书编号或排污登记表编号</w:t>
            </w:r>
          </w:p>
        </w:tc>
        <w:tc>
          <w:tcPr>
            <w:tcW w:w="1285" w:type="pct"/>
            <w:tcBorders>
              <w:right w:val="single" w:color="000000" w:sz="10" w:space="0"/>
            </w:tcBorders>
            <w:vAlign w:val="center"/>
          </w:tcPr>
          <w:p>
            <w:pPr>
              <w:jc w:val="center"/>
              <w:rPr>
                <w:rFonts w:hint="default" w:ascii="Arial" w:eastAsiaTheme="minorEastAsia"/>
                <w:sz w:val="21"/>
                <w:lang w:val="en-US" w:eastAsia="zh-CN"/>
              </w:rPr>
            </w:pPr>
            <w:r>
              <w:rPr>
                <w:rFonts w:hint="eastAsia" w:ascii="Arial"/>
                <w:sz w:val="21"/>
                <w:lang w:val="en-US" w:eastAsia="zh-CN"/>
              </w:rPr>
              <w:t>916405006943218442001P</w:t>
            </w:r>
          </w:p>
        </w:tc>
      </w:tr>
    </w:tbl>
    <w:p>
      <w:pPr>
        <w:rPr>
          <w:rFonts w:ascii="黑体" w:hAnsi="黑体" w:eastAsia="黑体" w:cs="黑体"/>
          <w:spacing w:val="-8"/>
          <w:sz w:val="30"/>
          <w:szCs w:val="30"/>
        </w:rPr>
      </w:pPr>
      <w:r>
        <w:rPr>
          <w:rFonts w:ascii="黑体" w:hAnsi="黑体" w:eastAsia="黑体" w:cs="黑体"/>
          <w:spacing w:val="-6"/>
          <w:sz w:val="30"/>
          <w:szCs w:val="30"/>
        </w:rPr>
        <w:br w:type="page"/>
      </w:r>
    </w:p>
    <w:p>
      <w:pPr>
        <w:ind w:left="5040" w:leftChars="0" w:firstLine="420" w:firstLineChars="0"/>
        <w:rPr>
          <w:rFonts w:hint="default" w:ascii="黑体" w:hAnsi="黑体" w:eastAsia="黑体" w:cs="黑体"/>
          <w:spacing w:val="-4"/>
          <w:sz w:val="30"/>
          <w:szCs w:val="30"/>
          <w:lang w:val="en-US" w:eastAsia="zh-CN"/>
        </w:rPr>
      </w:pPr>
      <w:r>
        <w:rPr>
          <w:rFonts w:ascii="黑体" w:hAnsi="黑体" w:eastAsia="黑体" w:cs="黑体"/>
          <w:spacing w:val="-8"/>
          <w:sz w:val="30"/>
          <w:szCs w:val="30"/>
        </w:rPr>
        <w:t>表</w:t>
      </w:r>
      <w:r>
        <w:rPr>
          <w:rFonts w:hint="eastAsia" w:ascii="黑体" w:hAnsi="黑体" w:eastAsia="黑体" w:cs="黑体"/>
          <w:spacing w:val="-4"/>
          <w:sz w:val="30"/>
          <w:szCs w:val="30"/>
          <w:lang w:val="en-US" w:eastAsia="zh-CN"/>
        </w:rPr>
        <w:t>2</w:t>
      </w:r>
      <w:r>
        <w:rPr>
          <w:rFonts w:ascii="黑体" w:hAnsi="黑体" w:eastAsia="黑体" w:cs="黑体"/>
          <w:spacing w:val="-4"/>
          <w:sz w:val="30"/>
          <w:szCs w:val="30"/>
        </w:rPr>
        <w:t xml:space="preserve">  </w:t>
      </w:r>
      <w:r>
        <w:rPr>
          <w:rFonts w:hint="eastAsia" w:ascii="黑体" w:hAnsi="黑体" w:eastAsia="黑体" w:cs="黑体"/>
          <w:spacing w:val="-4"/>
          <w:sz w:val="30"/>
          <w:szCs w:val="30"/>
          <w:lang w:val="en-US" w:eastAsia="zh-CN"/>
        </w:rPr>
        <w:t>生产设施</w:t>
      </w:r>
      <w:r>
        <w:rPr>
          <w:rFonts w:ascii="黑体" w:hAnsi="黑体" w:eastAsia="黑体" w:cs="黑体"/>
          <w:spacing w:val="-4"/>
          <w:sz w:val="30"/>
          <w:szCs w:val="30"/>
        </w:rPr>
        <w:t>信息表</w:t>
      </w:r>
    </w:p>
    <w:tbl>
      <w:tblPr>
        <w:tblW w:w="14173" w:type="dxa"/>
        <w:tblInd w:type="dxa" w:w="0"/>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type="dxa" w:w="107"/>
          <w:right w:type="dxa" w:w="107"/>
        </w:tblCellMar>
      </w:tblPr>
      <w:tblGrid>
        <w:gridCol w:w="1012"/>
        <w:gridCol w:w="1012"/>
        <w:gridCol w:w="1012"/>
        <w:gridCol w:w="1012"/>
        <w:gridCol w:w="1012"/>
        <w:gridCol w:w="1012"/>
        <w:gridCol w:w="1012"/>
        <w:gridCol w:w="1012"/>
        <w:gridCol w:w="1012"/>
        <w:gridCol w:w="1012"/>
        <w:gridCol w:w="1012"/>
        <w:gridCol w:w="1012"/>
        <w:gridCol w:w="1012"/>
        <w:gridCol w:w="1012"/>
      </w:tblGrid>
      <w:tr>
        <w:trPr>
          <w:trHeight w:val="566" w:hRule="atLeast"/>
        </w:trPr>
        <w:tc>
          <w:tcPr>
            <w:tcW w:w="1012" w:type="dxa"/>
            <w:vAlign w:val="center"/>
          </w:tcPr>
          <w:p>
            <w:pPr>
              <w:pBdr/>
              <w:ind/>
              <w:jc w:val="center"/>
            </w:pPr>
            <w:r>
              <w:rPr>
                <w:rFonts w:eastAsia="Hei" w:ascii="Hei" w:hAnsi="Hei" w:cs="Hei"/>
                <w:b w:val="true"/>
                <w:sz w:val="24"/>
                <w:u w:color="auto"/>
              </w:rPr>
              <w:t>设施名称</w:t>
            </w:r>
            <w:r>
              <w:rPr>
                <w:u/>
              </w:rPr>
            </w:r>
          </w:p>
        </w:tc>
        <w:tc>
          <w:tcPr>
            <w:tcW w:w="1012" w:type="dxa"/>
            <w:vAlign w:val="center"/>
          </w:tcPr>
          <w:p>
            <w:pPr>
              <w:pBdr/>
              <w:ind/>
              <w:jc w:val="center"/>
            </w:pPr>
            <w:r>
              <w:rPr>
                <w:rFonts w:eastAsia="Hei" w:ascii="Hei" w:hAnsi="Hei" w:cs="Hei"/>
                <w:b w:val="true"/>
                <w:sz w:val="24"/>
                <w:u w:color="auto"/>
              </w:rPr>
              <w:t>编码</w:t>
            </w:r>
            <w:r>
              <w:rPr>
                <w:u/>
              </w:rPr>
            </w:r>
          </w:p>
        </w:tc>
        <w:tc>
          <w:tcPr>
            <w:tcW w:w="1012" w:type="dxa"/>
            <w:vAlign w:val="center"/>
          </w:tcPr>
          <w:p>
            <w:pPr>
              <w:pBdr/>
              <w:ind/>
              <w:jc w:val="center"/>
            </w:pPr>
            <w:r>
              <w:rPr>
                <w:rFonts w:eastAsia="Hei" w:ascii="Hei" w:hAnsi="Hei" w:cs="Hei"/>
                <w:b w:val="true"/>
                <w:sz w:val="24"/>
                <w:u w:color="auto"/>
              </w:rPr>
              <w:t>主要生产单元名称</w:t>
            </w:r>
            <w:r>
              <w:rPr>
                <w:u/>
              </w:rPr>
            </w:r>
          </w:p>
        </w:tc>
        <w:tc>
          <w:tcPr>
            <w:tcW w:w="1012" w:type="dxa"/>
            <w:vAlign w:val="center"/>
          </w:tcPr>
          <w:p>
            <w:pPr>
              <w:pBdr/>
              <w:ind/>
              <w:jc w:val="center"/>
            </w:pPr>
            <w:r>
              <w:rPr>
                <w:rFonts w:eastAsia="Hei" w:ascii="Hei" w:hAnsi="Hei" w:cs="Hei"/>
                <w:b w:val="true"/>
                <w:sz w:val="24"/>
                <w:u w:color="auto"/>
              </w:rPr>
              <w:t>主要工艺名称</w:t>
            </w:r>
            <w:r>
              <w:rPr>
                <w:u/>
              </w:rPr>
            </w:r>
          </w:p>
        </w:tc>
        <w:tc>
          <w:tcPr>
            <w:tcW w:w="1012" w:type="dxa"/>
            <w:vAlign w:val="center"/>
          </w:tcPr>
          <w:p>
            <w:pPr>
              <w:pBdr/>
              <w:ind/>
              <w:jc w:val="center"/>
            </w:pPr>
            <w:r>
              <w:rPr>
                <w:rFonts w:eastAsia="Hei" w:ascii="Hei" w:hAnsi="Hei" w:cs="Hei"/>
                <w:b w:val="true"/>
                <w:sz w:val="24"/>
                <w:u w:color="auto"/>
              </w:rPr>
              <w:t>生产设施生产能力</w:t>
            </w:r>
            <w:r>
              <w:rPr>
                <w:u/>
              </w:rPr>
            </w:r>
          </w:p>
        </w:tc>
        <w:tc>
          <w:tcPr>
            <w:tcW w:w="1012" w:type="dxa"/>
            <w:vAlign w:val="center"/>
          </w:tcPr>
          <w:p>
            <w:pPr>
              <w:pBdr/>
              <w:ind/>
              <w:jc w:val="center"/>
            </w:pPr>
            <w:r>
              <w:rPr>
                <w:rFonts w:eastAsia="Hei" w:ascii="Hei" w:hAnsi="Hei" w:cs="Hei"/>
                <w:b w:val="true"/>
                <w:sz w:val="24"/>
                <w:u w:color="auto"/>
              </w:rPr>
              <w:t>计量单位</w:t>
            </w:r>
            <w:r>
              <w:rPr>
                <w:u/>
              </w:rPr>
            </w:r>
          </w:p>
        </w:tc>
        <w:tc>
          <w:tcPr>
            <w:tcW w:w="1012" w:type="dxa"/>
            <w:vAlign w:val="center"/>
          </w:tcPr>
          <w:p>
            <w:pPr>
              <w:pBdr/>
              <w:ind/>
              <w:jc w:val="center"/>
            </w:pPr>
            <w:r>
              <w:rPr>
                <w:rFonts w:eastAsia="Hei" w:ascii="Hei" w:hAnsi="Hei" w:cs="Hei"/>
                <w:b w:val="true"/>
                <w:sz w:val="24"/>
                <w:u w:color="auto"/>
              </w:rPr>
              <w:t>产品类型</w:t>
            </w:r>
            <w:r>
              <w:rPr>
                <w:u/>
              </w:rPr>
            </w:r>
          </w:p>
        </w:tc>
        <w:tc>
          <w:tcPr>
            <w:tcW w:w="1012" w:type="dxa"/>
            <w:vAlign w:val="center"/>
          </w:tcPr>
          <w:p>
            <w:pPr>
              <w:pBdr/>
              <w:ind/>
              <w:jc w:val="center"/>
            </w:pPr>
            <w:r>
              <w:rPr>
                <w:rFonts w:eastAsia="Hei" w:ascii="Hei" w:hAnsi="Hei" w:cs="Hei"/>
                <w:b w:val="true"/>
                <w:sz w:val="24"/>
                <w:u w:color="auto"/>
              </w:rPr>
              <w:t>名称</w:t>
            </w:r>
            <w:r>
              <w:rPr>
                <w:u/>
              </w:rPr>
            </w:r>
          </w:p>
        </w:tc>
        <w:tc>
          <w:tcPr>
            <w:tcW w:w="1012" w:type="dxa"/>
            <w:vAlign w:val="center"/>
          </w:tcPr>
          <w:p>
            <w:pPr>
              <w:pBdr/>
              <w:ind/>
              <w:jc w:val="center"/>
            </w:pPr>
            <w:r>
              <w:rPr>
                <w:rFonts w:eastAsia="Hei" w:ascii="Hei" w:hAnsi="Hei" w:cs="Hei"/>
                <w:b w:val="true"/>
                <w:sz w:val="24"/>
                <w:u w:color="auto"/>
              </w:rPr>
              <w:t>数量</w:t>
            </w:r>
            <w:r>
              <w:rPr>
                <w:u/>
              </w:rPr>
            </w:r>
          </w:p>
        </w:tc>
        <w:tc>
          <w:tcPr>
            <w:tcW w:w="1012" w:type="dxa"/>
            <w:vAlign w:val="center"/>
          </w:tcPr>
          <w:p>
            <w:pPr>
              <w:pBdr/>
              <w:ind/>
              <w:jc w:val="center"/>
            </w:pPr>
            <w:r>
              <w:rPr>
                <w:rFonts w:eastAsia="Hei" w:ascii="Hei" w:hAnsi="Hei" w:cs="Hei"/>
                <w:b w:val="true"/>
                <w:sz w:val="24"/>
                <w:u w:color="auto"/>
              </w:rPr>
              <w:t>单位</w:t>
            </w:r>
            <w:r>
              <w:rPr>
                <w:u/>
              </w:rPr>
            </w:r>
          </w:p>
        </w:tc>
        <w:tc>
          <w:tcPr>
            <w:tcW w:w="1012" w:type="dxa"/>
            <w:vAlign w:val="center"/>
          </w:tcPr>
          <w:p>
            <w:pPr>
              <w:pBdr/>
              <w:ind/>
              <w:jc w:val="center"/>
            </w:pPr>
            <w:r>
              <w:rPr>
                <w:rFonts w:eastAsia="Hei" w:ascii="Hei" w:hAnsi="Hei" w:cs="Hei"/>
                <w:b w:val="true"/>
                <w:sz w:val="24"/>
                <w:u w:color="auto"/>
              </w:rPr>
              <w:t>材料种类</w:t>
            </w:r>
            <w:r>
              <w:rPr>
                <w:u/>
              </w:rPr>
            </w:r>
          </w:p>
        </w:tc>
        <w:tc>
          <w:tcPr>
            <w:tcW w:w="1012" w:type="dxa"/>
            <w:vAlign w:val="center"/>
          </w:tcPr>
          <w:p>
            <w:pPr>
              <w:pBdr/>
              <w:ind/>
              <w:jc w:val="center"/>
            </w:pPr>
            <w:r>
              <w:rPr>
                <w:rFonts w:eastAsia="Hei" w:ascii="Hei" w:hAnsi="Hei" w:cs="Hei"/>
                <w:b w:val="true"/>
                <w:sz w:val="24"/>
                <w:u w:color="auto"/>
              </w:rPr>
              <w:t>名称</w:t>
            </w:r>
            <w:r>
              <w:rPr>
                <w:u/>
              </w:rPr>
            </w:r>
          </w:p>
        </w:tc>
        <w:tc>
          <w:tcPr>
            <w:tcW w:w="1012" w:type="dxa"/>
            <w:vAlign w:val="center"/>
          </w:tcPr>
          <w:p>
            <w:pPr>
              <w:pBdr/>
              <w:ind/>
              <w:jc w:val="center"/>
            </w:pPr>
            <w:r>
              <w:rPr>
                <w:rFonts w:eastAsia="Hei" w:ascii="Hei" w:hAnsi="Hei" w:cs="Hei"/>
                <w:b w:val="true"/>
                <w:sz w:val="24"/>
                <w:u w:color="auto"/>
              </w:rPr>
              <w:t>用量</w:t>
            </w:r>
            <w:r>
              <w:rPr>
                <w:u/>
              </w:rPr>
            </w:r>
          </w:p>
        </w:tc>
        <w:tc>
          <w:tcPr>
            <w:tcW w:w="1012" w:type="dxa"/>
            <w:vAlign w:val="center"/>
          </w:tcPr>
          <w:p>
            <w:pPr>
              <w:pBdr/>
              <w:ind/>
              <w:jc w:val="center"/>
            </w:pPr>
            <w:r>
              <w:rPr>
                <w:rFonts w:eastAsia="Hei" w:ascii="Hei" w:hAnsi="Hei" w:cs="Hei"/>
                <w:b w:val="true"/>
                <w:sz w:val="24"/>
                <w:u w:color="auto"/>
              </w:rPr>
              <w:t>单位</w:t>
            </w:r>
            <w:r>
              <w:rPr>
                <w:u/>
              </w:rPr>
            </w:r>
          </w:p>
        </w:tc>
      </w:tr>
      <w:tr>
        <w:trPr>
          <w:trHeight w:val="850" w:hRule="atLeast"/>
        </w:trPr>
        <w:tc>
          <w:tcPr>
            <w:tcW w:w="1012" w:type="dxa"/>
            <w:vMerge w:val="restart"/>
            <w:vAlign w:val="center"/>
          </w:tcPr>
          <w:p>
            <w:pPr>
              <w:pBdr/>
              <w:ind/>
              <w:jc w:val="center"/>
            </w:pPr>
            <w:r>
              <w:rPr>
                <w:sz w:val="24"/>
                <w:u w:color="auto"/>
              </w:rPr>
              <w:t>动力系统</w:t>
            </w:r>
            <w:r>
              <w:rPr>
                <w:u/>
              </w:rPr>
            </w:r>
          </w:p>
        </w:tc>
        <w:tc>
          <w:tcPr>
            <w:tcW w:w="1012" w:type="dxa"/>
            <w:vMerge w:val="restart"/>
            <w:vAlign w:val="center"/>
          </w:tcPr>
          <w:p>
            <w:pPr>
              <w:pBdr/>
              <w:ind/>
              <w:jc w:val="center"/>
            </w:pPr>
            <w:r>
              <w:rPr>
                <w:sz w:val="24"/>
                <w:u w:color="auto"/>
              </w:rPr>
              <w:t>PU001</w:t>
            </w:r>
            <w:r>
              <w:rPr>
                <w:u/>
              </w:rPr>
            </w:r>
          </w:p>
        </w:tc>
        <w:tc>
          <w:tcPr>
            <w:tcW w:w="1012" w:type="dxa"/>
            <w:vMerge w:val="restart"/>
            <w:vAlign w:val="center"/>
          </w:tcPr>
          <w:p>
            <w:pPr>
              <w:pBdr/>
              <w:ind/>
              <w:jc w:val="center"/>
            </w:pPr>
            <w:r>
              <w:rPr>
                <w:sz w:val="24"/>
                <w:u w:color="auto"/>
              </w:rPr>
              <w:t>锅炉房、冷冻循环水</w:t>
            </w:r>
            <w:r>
              <w:rPr>
                <w:u/>
              </w:rPr>
            </w:r>
          </w:p>
        </w:tc>
        <w:tc>
          <w:tcPr>
            <w:tcW w:w="1012" w:type="dxa"/>
            <w:vMerge w:val="restart"/>
            <w:vAlign w:val="center"/>
          </w:tcPr>
          <w:p>
            <w:pPr>
              <w:pBdr/>
              <w:ind/>
              <w:jc w:val="center"/>
            </w:pPr>
            <w:r>
              <w:rPr>
                <w:sz w:val="24"/>
                <w:u w:color="auto"/>
              </w:rPr>
              <w:t>硫化床锅炉、空压制氮机</w:t>
            </w:r>
            <w:r>
              <w:rPr>
                <w:u/>
              </w:rPr>
            </w:r>
          </w:p>
        </w:tc>
        <w:tc>
          <w:tcPr>
            <w:tcW w:w="1012" w:type="dxa"/>
            <w:vMerge w:val="restart"/>
            <w:vAlign w:val="center"/>
          </w:tcPr>
          <w:p>
            <w:pPr>
              <w:pBdr/>
              <w:ind/>
              <w:jc w:val="center"/>
            </w:pPr>
            <w:r>
              <w:rPr>
                <w:sz w:val="24"/>
                <w:u w:color="auto"/>
              </w:rPr>
              <w:t>400000</w:t>
            </w:r>
            <w:r>
              <w:rPr>
                <w:u/>
              </w:rPr>
            </w:r>
          </w:p>
        </w:tc>
        <w:tc>
          <w:tcPr>
            <w:tcW w:w="1012" w:type="dxa"/>
            <w:vMerge w:val="restart"/>
            <w:vAlign w:val="center"/>
          </w:tcPr>
          <w:p>
            <w:pPr>
              <w:pBdr/>
              <w:ind/>
              <w:jc w:val="center"/>
            </w:pPr>
            <w:r>
              <w:rPr>
                <w:sz w:val="24"/>
                <w:u w:color="auto"/>
              </w:rPr>
              <w:t>吨</w:t>
            </w:r>
            <w:r>
              <w:rPr>
                <w:u/>
              </w:rPr>
            </w:r>
          </w:p>
        </w:tc>
        <w:tc>
          <w:tcPr>
            <w:tcW w:w="1012" w:type="dxa"/>
            <w:vMerge w:val="restart"/>
            <w:vAlign w:val="center"/>
          </w:tcPr>
          <w:p>
            <w:pPr>
              <w:pBdr/>
              <w:ind/>
              <w:jc w:val="center"/>
            </w:pPr>
            <w:r>
              <w:rPr>
                <w:sz w:val="24"/>
                <w:u w:color="auto"/>
              </w:rPr>
              <w:t>最终产品</w:t>
            </w:r>
            <w:r>
              <w:rPr>
                <w:u/>
              </w:rPr>
            </w:r>
          </w:p>
        </w:tc>
        <w:tc>
          <w:tcPr>
            <w:tcW w:w="1012" w:type="dxa"/>
            <w:vMerge w:val="restart"/>
            <w:vAlign w:val="center"/>
          </w:tcPr>
          <w:p>
            <w:pPr>
              <w:pBdr/>
              <w:ind/>
              <w:jc w:val="center"/>
            </w:pPr>
            <w:r>
              <w:rPr>
                <w:sz w:val="24"/>
                <w:u w:color="auto"/>
              </w:rPr>
              <w:t>蒸汽</w:t>
            </w:r>
            <w:r>
              <w:rPr>
                <w:u/>
              </w:rPr>
            </w:r>
          </w:p>
        </w:tc>
        <w:tc>
          <w:tcPr>
            <w:tcW w:w="1012" w:type="dxa"/>
            <w:vMerge w:val="restart"/>
            <w:vAlign w:val="center"/>
          </w:tcPr>
          <w:p>
            <w:pPr>
              <w:pBdr/>
              <w:ind/>
              <w:jc w:val="center"/>
            </w:pPr>
            <w:r>
              <w:rPr>
                <w:sz w:val="24"/>
                <w:u w:color="auto"/>
              </w:rPr>
              <w:t>400000</w:t>
            </w:r>
            <w:r>
              <w:rPr>
                <w:u/>
              </w:rPr>
            </w:r>
          </w:p>
        </w:tc>
        <w:tc>
          <w:tcPr>
            <w:tcW w:w="1012" w:type="dxa"/>
            <w:vMerge w:val="restart"/>
            <w:vAlign w:val="center"/>
          </w:tcPr>
          <w:p>
            <w:pPr>
              <w:pBdr/>
              <w:ind/>
              <w:jc w:val="center"/>
            </w:pPr>
            <w:r>
              <w:rPr>
                <w:sz w:val="24"/>
                <w:u w:color="auto"/>
              </w:rPr>
              <w:t>吨</w:t>
            </w:r>
            <w:r>
              <w:rPr>
                <w:u/>
              </w:rPr>
            </w:r>
          </w:p>
        </w:tc>
        <w:tc>
          <w:tcPr>
            <w:tcW w:w="1012" w:type="dxa"/>
            <w:vAlign w:val="center"/>
          </w:tcPr>
          <w:p>
            <w:pPr>
              <w:pBdr/>
              <w:ind/>
              <w:jc w:val="center"/>
            </w:pPr>
            <w:r>
              <w:rPr>
                <w:sz w:val="24"/>
                <w:u w:color="auto"/>
              </w:rPr>
              <w:t>原料</w:t>
            </w:r>
            <w:r>
              <w:rPr>
                <w:u/>
              </w:rPr>
            </w:r>
          </w:p>
        </w:tc>
        <w:tc>
          <w:tcPr>
            <w:tcW w:w="1012" w:type="dxa"/>
            <w:vAlign w:val="center"/>
          </w:tcPr>
          <w:p>
            <w:pPr>
              <w:pBdr/>
              <w:ind/>
              <w:jc w:val="center"/>
            </w:pPr>
            <w:r>
              <w:rPr>
                <w:sz w:val="24"/>
                <w:u w:color="auto"/>
              </w:rPr>
              <w:t>煤</w:t>
            </w:r>
            <w:r>
              <w:rPr>
                <w:u/>
              </w:rPr>
            </w:r>
          </w:p>
        </w:tc>
        <w:tc>
          <w:tcPr>
            <w:tcW w:w="1012" w:type="dxa"/>
            <w:vAlign w:val="center"/>
          </w:tcPr>
          <w:p>
            <w:pPr>
              <w:pBdr/>
              <w:ind/>
              <w:jc w:val="center"/>
            </w:pPr>
            <w:r>
              <w:rPr>
                <w:sz w:val="24"/>
                <w:u w:color="auto"/>
              </w:rPr>
              <w:t>50000</w:t>
            </w:r>
            <w:r>
              <w:rPr>
                <w:u/>
              </w:rPr>
            </w:r>
          </w:p>
        </w:tc>
        <w:tc>
          <w:tcPr>
            <w:tcW w:w="1012" w:type="dxa"/>
            <w:vAlign w:val="center"/>
          </w:tcPr>
          <w:p>
            <w:pPr>
              <w:pBdr/>
              <w:ind/>
              <w:jc w:val="center"/>
            </w:pPr>
            <w:r>
              <w:rPr>
                <w:sz w:val="24"/>
                <w:u w:color="auto"/>
              </w:rPr>
              <w:t>吨</w:t>
            </w:r>
            <w:r>
              <w:rPr>
                <w:u/>
              </w:rPr>
            </w:r>
          </w:p>
        </w:tc>
      </w:tr>
      <w:tr>
        <w:trPr>
          <w:trHeight w:val="850" w:hRule="atLeast"/>
        </w:trPr>
        <w:tc>
          <w:tcPr>
            <w:tcW w:w="1012" w:type="dxa"/>
            <w:vMerge w:val="continue"/>
            <w:vAlign w:val="center"/>
          </w:tcPr>
          <w:p>
            <w:pPr>
              <w:pBdr/>
              <w:ind/>
              <w:jc w:val="center"/>
            </w:pPr>
            <w:r>
              <w:rPr>
                <w:sz w:val="24"/>
                <w:u w:color="auto"/>
              </w:rPr>
              <w:t>动力系统</w:t>
            </w:r>
            <w:r>
              <w:rPr>
                <w:u/>
              </w:rPr>
            </w:r>
          </w:p>
        </w:tc>
        <w:tc>
          <w:tcPr>
            <w:tcW w:w="1012" w:type="dxa"/>
            <w:vMerge w:val="continue"/>
            <w:vAlign w:val="center"/>
          </w:tcPr>
          <w:p>
            <w:pPr>
              <w:pBdr/>
              <w:ind/>
              <w:jc w:val="center"/>
            </w:pPr>
            <w:r>
              <w:rPr>
                <w:sz w:val="24"/>
                <w:u w:color="auto"/>
              </w:rPr>
              <w:t>PU001</w:t>
            </w:r>
            <w:r>
              <w:rPr>
                <w:u/>
              </w:rPr>
            </w:r>
          </w:p>
        </w:tc>
        <w:tc>
          <w:tcPr>
            <w:tcW w:w="1012" w:type="dxa"/>
            <w:vMerge w:val="continue"/>
            <w:vAlign w:val="center"/>
          </w:tcPr>
          <w:p>
            <w:pPr>
              <w:pBdr/>
              <w:ind/>
              <w:jc w:val="center"/>
            </w:pPr>
            <w:r>
              <w:rPr>
                <w:sz w:val="24"/>
                <w:u w:color="auto"/>
              </w:rPr>
              <w:t>锅炉房、冷冻循环水</w:t>
            </w:r>
            <w:r>
              <w:rPr>
                <w:u/>
              </w:rPr>
            </w:r>
          </w:p>
        </w:tc>
        <w:tc>
          <w:tcPr>
            <w:tcW w:w="1012" w:type="dxa"/>
            <w:vMerge w:val="continue"/>
            <w:vAlign w:val="center"/>
          </w:tcPr>
          <w:p>
            <w:pPr>
              <w:pBdr/>
              <w:ind/>
              <w:jc w:val="center"/>
            </w:pPr>
            <w:r>
              <w:rPr>
                <w:sz w:val="24"/>
                <w:u w:color="auto"/>
              </w:rPr>
              <w:t>硫化床锅炉、空压制氮机</w:t>
            </w:r>
            <w:r>
              <w:rPr>
                <w:u/>
              </w:rPr>
            </w:r>
          </w:p>
        </w:tc>
        <w:tc>
          <w:tcPr>
            <w:tcW w:w="1012" w:type="dxa"/>
            <w:vMerge w:val="continue"/>
            <w:vAlign w:val="center"/>
          </w:tcPr>
          <w:p>
            <w:pPr>
              <w:pBdr/>
              <w:ind/>
              <w:jc w:val="center"/>
            </w:pPr>
            <w:r>
              <w:rPr>
                <w:sz w:val="24"/>
                <w:u w:color="auto"/>
              </w:rPr>
              <w:t>400000</w:t>
            </w:r>
            <w:r>
              <w:rPr>
                <w:u/>
              </w:rPr>
            </w:r>
          </w:p>
        </w:tc>
        <w:tc>
          <w:tcPr>
            <w:tcW w:w="1012" w:type="dxa"/>
            <w:vMerge w:val="continue"/>
            <w:vAlign w:val="center"/>
          </w:tcPr>
          <w:p>
            <w:pPr>
              <w:pBdr/>
              <w:ind/>
              <w:jc w:val="center"/>
            </w:pPr>
            <w:r>
              <w:rPr>
                <w:sz w:val="24"/>
                <w:u w:color="auto"/>
              </w:rPr>
              <w:t>吨</w:t>
            </w:r>
            <w:r>
              <w:rPr>
                <w:u/>
              </w:rPr>
            </w:r>
          </w:p>
        </w:tc>
        <w:tc>
          <w:tcPr>
            <w:tcW w:w="1012" w:type="dxa"/>
            <w:vMerge w:val="continue"/>
            <w:vAlign w:val="center"/>
          </w:tcPr>
          <w:p>
            <w:pPr>
              <w:pBdr/>
              <w:ind/>
              <w:jc w:val="center"/>
            </w:pPr>
            <w:r>
              <w:rPr>
                <w:sz w:val="24"/>
                <w:u w:color="auto"/>
              </w:rPr>
              <w:t>最终产品</w:t>
            </w:r>
            <w:r>
              <w:rPr>
                <w:u/>
              </w:rPr>
            </w:r>
          </w:p>
        </w:tc>
        <w:tc>
          <w:tcPr>
            <w:tcW w:w="1012" w:type="dxa"/>
            <w:vMerge w:val="continue"/>
            <w:vAlign w:val="center"/>
          </w:tcPr>
          <w:p>
            <w:pPr>
              <w:pBdr/>
              <w:ind/>
              <w:jc w:val="center"/>
            </w:pPr>
            <w:r>
              <w:rPr>
                <w:sz w:val="24"/>
                <w:u w:color="auto"/>
              </w:rPr>
              <w:t>蒸汽</w:t>
            </w:r>
            <w:r>
              <w:rPr>
                <w:u/>
              </w:rPr>
            </w:r>
          </w:p>
        </w:tc>
        <w:tc>
          <w:tcPr>
            <w:tcW w:w="1012" w:type="dxa"/>
            <w:vMerge w:val="continue"/>
            <w:vAlign w:val="center"/>
          </w:tcPr>
          <w:p>
            <w:pPr>
              <w:pBdr/>
              <w:ind/>
              <w:jc w:val="center"/>
            </w:pPr>
            <w:r>
              <w:rPr>
                <w:sz w:val="24"/>
                <w:u w:color="auto"/>
              </w:rPr>
              <w:t>400000</w:t>
            </w:r>
            <w:r>
              <w:rPr>
                <w:u/>
              </w:rPr>
            </w:r>
          </w:p>
        </w:tc>
        <w:tc>
          <w:tcPr>
            <w:tcW w:w="1012" w:type="dxa"/>
            <w:vMerge w:val="continue"/>
            <w:vAlign w:val="center"/>
          </w:tcPr>
          <w:p>
            <w:pPr>
              <w:pBdr/>
              <w:ind/>
              <w:jc w:val="center"/>
            </w:pPr>
            <w:r>
              <w:rPr>
                <w:sz w:val="24"/>
                <w:u w:color="auto"/>
              </w:rPr>
              <w:t>吨</w:t>
            </w:r>
            <w:r>
              <w:rPr>
                <w:u/>
              </w:rPr>
            </w:r>
          </w:p>
        </w:tc>
        <w:tc>
          <w:tcPr>
            <w:tcW w:w="1012" w:type="dxa"/>
            <w:vAlign w:val="center"/>
          </w:tcPr>
          <w:p>
            <w:pPr>
              <w:pBdr/>
              <w:ind/>
              <w:jc w:val="center"/>
            </w:pPr>
            <w:r>
              <w:rPr>
                <w:sz w:val="24"/>
                <w:u w:color="auto"/>
              </w:rPr>
              <w:t>辅料</w:t>
            </w:r>
            <w:r>
              <w:rPr>
                <w:u/>
              </w:rPr>
            </w:r>
          </w:p>
        </w:tc>
        <w:tc>
          <w:tcPr>
            <w:tcW w:w="1012" w:type="dxa"/>
            <w:vAlign w:val="center"/>
          </w:tcPr>
          <w:p>
            <w:pPr>
              <w:pBdr/>
              <w:ind/>
              <w:jc w:val="center"/>
            </w:pPr>
            <w:r>
              <w:rPr>
                <w:sz w:val="24"/>
                <w:u w:color="auto"/>
              </w:rPr>
              <w:t>石灰</w:t>
            </w:r>
            <w:r>
              <w:rPr>
                <w:u/>
              </w:rPr>
            </w:r>
          </w:p>
        </w:tc>
        <w:tc>
          <w:tcPr>
            <w:tcW w:w="1012" w:type="dxa"/>
            <w:vAlign w:val="center"/>
          </w:tcPr>
          <w:p>
            <w:pPr>
              <w:pBdr/>
              <w:ind/>
              <w:jc w:val="center"/>
            </w:pPr>
            <w:r>
              <w:rPr>
                <w:sz w:val="24"/>
                <w:u w:color="auto"/>
              </w:rPr>
              <w:t>200</w:t>
            </w:r>
            <w:r>
              <w:rPr>
                <w:u/>
              </w:rPr>
            </w:r>
          </w:p>
        </w:tc>
        <w:tc>
          <w:tcPr>
            <w:tcW w:w="1012" w:type="dxa"/>
            <w:vAlign w:val="center"/>
          </w:tcPr>
          <w:p>
            <w:pPr>
              <w:pBdr/>
              <w:ind/>
              <w:jc w:val="center"/>
            </w:pPr>
            <w:r>
              <w:rPr>
                <w:sz w:val="24"/>
                <w:u w:color="auto"/>
              </w:rPr>
              <w:t>吨</w:t>
            </w:r>
            <w:r>
              <w:rPr>
                <w:u/>
              </w:rPr>
            </w:r>
          </w:p>
        </w:tc>
      </w:tr>
      <w:tr>
        <w:trPr>
          <w:trHeight w:val="850" w:hRule="atLeast"/>
        </w:trPr>
        <w:tc>
          <w:tcPr>
            <w:tcW w:w="1012" w:type="dxa"/>
            <w:vMerge w:val="restart"/>
            <w:vAlign w:val="center"/>
          </w:tcPr>
          <w:p>
            <w:pPr>
              <w:pBdr/>
              <w:ind/>
              <w:jc w:val="center"/>
            </w:pPr>
            <w:r>
              <w:rPr>
                <w:sz w:val="24"/>
                <w:u w:color="auto"/>
              </w:rPr>
              <w:t>对氨基苯甲醚生产装置</w:t>
            </w:r>
            <w:r>
              <w:rPr>
                <w:u/>
              </w:rPr>
            </w:r>
          </w:p>
        </w:tc>
        <w:tc>
          <w:tcPr>
            <w:tcW w:w="1012" w:type="dxa"/>
            <w:vMerge w:val="restart"/>
            <w:vAlign w:val="center"/>
          </w:tcPr>
          <w:p>
            <w:pPr>
              <w:pBdr/>
              <w:ind/>
              <w:jc w:val="center"/>
            </w:pPr>
            <w:r>
              <w:rPr>
                <w:sz w:val="24"/>
                <w:u w:color="auto"/>
              </w:rPr>
              <w:t>PU002</w:t>
            </w:r>
            <w:r>
              <w:rPr>
                <w:u/>
              </w:rPr>
            </w:r>
          </w:p>
        </w:tc>
        <w:tc>
          <w:tcPr>
            <w:tcW w:w="1012" w:type="dxa"/>
            <w:vMerge w:val="restart"/>
            <w:vAlign w:val="center"/>
          </w:tcPr>
          <w:p>
            <w:pPr>
              <w:pBdr/>
              <w:ind/>
              <w:jc w:val="center"/>
            </w:pPr>
            <w:r>
              <w:rPr>
                <w:sz w:val="24"/>
                <w:u w:color="auto"/>
              </w:rPr>
              <w:t>甲醚装置、加氢装置</w:t>
            </w:r>
            <w:r>
              <w:rPr>
                <w:u/>
              </w:rPr>
            </w:r>
          </w:p>
        </w:tc>
        <w:tc>
          <w:tcPr>
            <w:tcW w:w="1012" w:type="dxa"/>
            <w:vMerge w:val="restart"/>
            <w:vAlign w:val="center"/>
          </w:tcPr>
          <w:p>
            <w:pPr>
              <w:pBdr/>
              <w:ind/>
              <w:jc w:val="center"/>
            </w:pPr>
            <w:r>
              <w:rPr>
                <w:sz w:val="24"/>
                <w:u w:color="auto"/>
              </w:rPr>
              <w:t>醚化还原</w:t>
            </w:r>
            <w:r>
              <w:rPr>
                <w:u/>
              </w:rPr>
            </w:r>
          </w:p>
        </w:tc>
        <w:tc>
          <w:tcPr>
            <w:tcW w:w="1012" w:type="dxa"/>
            <w:vMerge w:val="restart"/>
            <w:vAlign w:val="center"/>
          </w:tcPr>
          <w:p>
            <w:pPr>
              <w:pBdr/>
              <w:ind/>
              <w:jc w:val="center"/>
            </w:pPr>
            <w:r>
              <w:rPr>
                <w:sz w:val="24"/>
                <w:u w:color="auto"/>
              </w:rPr>
              <w:t>20000</w:t>
            </w:r>
            <w:r>
              <w:rPr>
                <w:u/>
              </w:rPr>
            </w:r>
          </w:p>
        </w:tc>
        <w:tc>
          <w:tcPr>
            <w:tcW w:w="1012" w:type="dxa"/>
            <w:vMerge w:val="restart"/>
            <w:vAlign w:val="center"/>
          </w:tcPr>
          <w:p>
            <w:pPr>
              <w:pBdr/>
              <w:ind/>
              <w:jc w:val="center"/>
            </w:pPr>
            <w:r>
              <w:rPr>
                <w:sz w:val="24"/>
                <w:u w:color="auto"/>
              </w:rPr>
              <w:t>吨</w:t>
            </w:r>
            <w:r>
              <w:rPr>
                <w:u/>
              </w:rPr>
            </w:r>
          </w:p>
        </w:tc>
        <w:tc>
          <w:tcPr>
            <w:tcW w:w="1012" w:type="dxa"/>
            <w:vMerge w:val="restart"/>
            <w:vAlign w:val="center"/>
          </w:tcPr>
          <w:p>
            <w:pPr>
              <w:pBdr/>
              <w:ind/>
              <w:jc w:val="center"/>
            </w:pPr>
            <w:r>
              <w:rPr>
                <w:sz w:val="24"/>
                <w:u w:color="auto"/>
              </w:rPr>
              <w:t>最终产品</w:t>
            </w:r>
            <w:r>
              <w:rPr>
                <w:u/>
              </w:rPr>
            </w:r>
          </w:p>
        </w:tc>
        <w:tc>
          <w:tcPr>
            <w:tcW w:w="1012" w:type="dxa"/>
            <w:vMerge w:val="restart"/>
            <w:vAlign w:val="center"/>
          </w:tcPr>
          <w:p>
            <w:pPr>
              <w:pBdr/>
              <w:ind/>
              <w:jc w:val="center"/>
            </w:pPr>
            <w:r>
              <w:rPr>
                <w:sz w:val="24"/>
                <w:u w:color="auto"/>
              </w:rPr>
              <w:t>对氨基苯甲醚</w:t>
            </w:r>
            <w:r>
              <w:rPr>
                <w:u/>
              </w:rPr>
            </w:r>
          </w:p>
        </w:tc>
        <w:tc>
          <w:tcPr>
            <w:tcW w:w="1012" w:type="dxa"/>
            <w:vMerge w:val="restart"/>
            <w:vAlign w:val="center"/>
          </w:tcPr>
          <w:p>
            <w:pPr>
              <w:pBdr/>
              <w:ind/>
              <w:jc w:val="center"/>
            </w:pPr>
            <w:r>
              <w:rPr>
                <w:sz w:val="24"/>
                <w:u w:color="auto"/>
              </w:rPr>
              <w:t>20000</w:t>
            </w:r>
            <w:r>
              <w:rPr>
                <w:u/>
              </w:rPr>
            </w:r>
          </w:p>
        </w:tc>
        <w:tc>
          <w:tcPr>
            <w:tcW w:w="1012" w:type="dxa"/>
            <w:vMerge w:val="restart"/>
            <w:vAlign w:val="center"/>
          </w:tcPr>
          <w:p>
            <w:pPr>
              <w:pBdr/>
              <w:ind/>
              <w:jc w:val="center"/>
            </w:pPr>
            <w:r>
              <w:rPr>
                <w:sz w:val="24"/>
                <w:u w:color="auto"/>
              </w:rPr>
              <w:t>吨</w:t>
            </w:r>
            <w:r>
              <w:rPr>
                <w:u/>
              </w:rPr>
            </w:r>
          </w:p>
        </w:tc>
        <w:tc>
          <w:tcPr>
            <w:tcW w:w="1012" w:type="dxa"/>
            <w:vAlign w:val="center"/>
          </w:tcPr>
          <w:p>
            <w:pPr>
              <w:pBdr/>
              <w:ind/>
              <w:jc w:val="center"/>
            </w:pPr>
            <w:r>
              <w:rPr>
                <w:sz w:val="24"/>
                <w:u w:color="auto"/>
              </w:rPr>
              <w:t>原料</w:t>
            </w:r>
            <w:r>
              <w:rPr>
                <w:u/>
              </w:rPr>
            </w:r>
          </w:p>
        </w:tc>
        <w:tc>
          <w:tcPr>
            <w:tcW w:w="1012" w:type="dxa"/>
            <w:vAlign w:val="center"/>
          </w:tcPr>
          <w:p>
            <w:pPr>
              <w:pBdr/>
              <w:ind/>
              <w:jc w:val="center"/>
            </w:pPr>
            <w:r>
              <w:rPr>
                <w:sz w:val="24"/>
                <w:u w:color="auto"/>
              </w:rPr>
              <w:t>对硝基氯苯</w:t>
            </w:r>
            <w:r>
              <w:rPr>
                <w:u/>
              </w:rPr>
            </w:r>
          </w:p>
        </w:tc>
        <w:tc>
          <w:tcPr>
            <w:tcW w:w="1012" w:type="dxa"/>
            <w:vAlign w:val="center"/>
          </w:tcPr>
          <w:p>
            <w:pPr>
              <w:pBdr/>
              <w:ind/>
              <w:jc w:val="center"/>
            </w:pPr>
            <w:r>
              <w:rPr>
                <w:sz w:val="24"/>
                <w:u w:color="auto"/>
              </w:rPr>
              <w:t>27500</w:t>
            </w:r>
            <w:r>
              <w:rPr>
                <w:u/>
              </w:rPr>
            </w:r>
          </w:p>
        </w:tc>
        <w:tc>
          <w:tcPr>
            <w:tcW w:w="1012" w:type="dxa"/>
            <w:vAlign w:val="center"/>
          </w:tcPr>
          <w:p>
            <w:pPr>
              <w:pBdr/>
              <w:ind/>
              <w:jc w:val="center"/>
            </w:pPr>
            <w:r>
              <w:rPr>
                <w:sz w:val="24"/>
                <w:u w:color="auto"/>
              </w:rPr>
              <w:t>吨</w:t>
            </w:r>
            <w:r>
              <w:rPr>
                <w:u/>
              </w:rPr>
            </w:r>
          </w:p>
        </w:tc>
      </w:tr>
      <w:tr>
        <w:trPr>
          <w:trHeight w:val="850" w:hRule="atLeast"/>
        </w:trPr>
        <w:tc>
          <w:tcPr>
            <w:tcW w:w="1012" w:type="dxa"/>
            <w:vMerge w:val="continue"/>
            <w:vAlign w:val="center"/>
          </w:tcPr>
          <w:p>
            <w:pPr>
              <w:pBdr/>
              <w:ind/>
              <w:jc w:val="center"/>
            </w:pPr>
            <w:r>
              <w:rPr>
                <w:sz w:val="24"/>
                <w:u w:color="auto"/>
              </w:rPr>
              <w:t>对氨基苯甲醚生产装置</w:t>
            </w:r>
            <w:r>
              <w:rPr>
                <w:u/>
              </w:rPr>
            </w:r>
          </w:p>
        </w:tc>
        <w:tc>
          <w:tcPr>
            <w:tcW w:w="1012" w:type="dxa"/>
            <w:vMerge w:val="continue"/>
            <w:vAlign w:val="center"/>
          </w:tcPr>
          <w:p>
            <w:pPr>
              <w:pBdr/>
              <w:ind/>
              <w:jc w:val="center"/>
            </w:pPr>
            <w:r>
              <w:rPr>
                <w:sz w:val="24"/>
                <w:u w:color="auto"/>
              </w:rPr>
              <w:t>PU002</w:t>
            </w:r>
            <w:r>
              <w:rPr>
                <w:u/>
              </w:rPr>
            </w:r>
          </w:p>
        </w:tc>
        <w:tc>
          <w:tcPr>
            <w:tcW w:w="1012" w:type="dxa"/>
            <w:vMerge w:val="continue"/>
            <w:vAlign w:val="center"/>
          </w:tcPr>
          <w:p>
            <w:pPr>
              <w:pBdr/>
              <w:ind/>
              <w:jc w:val="center"/>
            </w:pPr>
            <w:r>
              <w:rPr>
                <w:sz w:val="24"/>
                <w:u w:color="auto"/>
              </w:rPr>
              <w:t>甲醚装置、加氢装置</w:t>
            </w:r>
            <w:r>
              <w:rPr>
                <w:u/>
              </w:rPr>
            </w:r>
          </w:p>
        </w:tc>
        <w:tc>
          <w:tcPr>
            <w:tcW w:w="1012" w:type="dxa"/>
            <w:vMerge w:val="continue"/>
            <w:vAlign w:val="center"/>
          </w:tcPr>
          <w:p>
            <w:pPr>
              <w:pBdr/>
              <w:ind/>
              <w:jc w:val="center"/>
            </w:pPr>
            <w:r>
              <w:rPr>
                <w:sz w:val="24"/>
                <w:u w:color="auto"/>
              </w:rPr>
              <w:t>醚化还原</w:t>
            </w:r>
            <w:r>
              <w:rPr>
                <w:u/>
              </w:rPr>
            </w:r>
          </w:p>
        </w:tc>
        <w:tc>
          <w:tcPr>
            <w:tcW w:w="1012" w:type="dxa"/>
            <w:vMerge w:val="continue"/>
            <w:vAlign w:val="center"/>
          </w:tcPr>
          <w:p>
            <w:pPr>
              <w:pBdr/>
              <w:ind/>
              <w:jc w:val="center"/>
            </w:pPr>
            <w:r>
              <w:rPr>
                <w:sz w:val="24"/>
                <w:u w:color="auto"/>
              </w:rPr>
              <w:t>20000</w:t>
            </w:r>
            <w:r>
              <w:rPr>
                <w:u/>
              </w:rPr>
            </w:r>
          </w:p>
        </w:tc>
        <w:tc>
          <w:tcPr>
            <w:tcW w:w="1012" w:type="dxa"/>
            <w:vMerge w:val="continue"/>
            <w:vAlign w:val="center"/>
          </w:tcPr>
          <w:p>
            <w:pPr>
              <w:pBdr/>
              <w:ind/>
              <w:jc w:val="center"/>
            </w:pPr>
            <w:r>
              <w:rPr>
                <w:sz w:val="24"/>
                <w:u w:color="auto"/>
              </w:rPr>
              <w:t>吨</w:t>
            </w:r>
            <w:r>
              <w:rPr>
                <w:u/>
              </w:rPr>
            </w:r>
          </w:p>
        </w:tc>
        <w:tc>
          <w:tcPr>
            <w:tcW w:w="1012" w:type="dxa"/>
            <w:vMerge w:val="continue"/>
            <w:vAlign w:val="center"/>
          </w:tcPr>
          <w:p>
            <w:pPr>
              <w:pBdr/>
              <w:ind/>
              <w:jc w:val="center"/>
            </w:pPr>
            <w:r>
              <w:rPr>
                <w:sz w:val="24"/>
                <w:u w:color="auto"/>
              </w:rPr>
              <w:t>最终产品</w:t>
            </w:r>
            <w:r>
              <w:rPr>
                <w:u/>
              </w:rPr>
            </w:r>
          </w:p>
        </w:tc>
        <w:tc>
          <w:tcPr>
            <w:tcW w:w="1012" w:type="dxa"/>
            <w:vMerge w:val="continue"/>
            <w:vAlign w:val="center"/>
          </w:tcPr>
          <w:p>
            <w:pPr>
              <w:pBdr/>
              <w:ind/>
              <w:jc w:val="center"/>
            </w:pPr>
            <w:r>
              <w:rPr>
                <w:sz w:val="24"/>
                <w:u w:color="auto"/>
              </w:rPr>
              <w:t>对氨基苯甲醚</w:t>
            </w:r>
            <w:r>
              <w:rPr>
                <w:u/>
              </w:rPr>
            </w:r>
          </w:p>
        </w:tc>
        <w:tc>
          <w:tcPr>
            <w:tcW w:w="1012" w:type="dxa"/>
            <w:vMerge w:val="continue"/>
            <w:vAlign w:val="center"/>
          </w:tcPr>
          <w:p>
            <w:pPr>
              <w:pBdr/>
              <w:ind/>
              <w:jc w:val="center"/>
            </w:pPr>
            <w:r>
              <w:rPr>
                <w:sz w:val="24"/>
                <w:u w:color="auto"/>
              </w:rPr>
              <w:t>20000</w:t>
            </w:r>
            <w:r>
              <w:rPr>
                <w:u/>
              </w:rPr>
            </w:r>
          </w:p>
        </w:tc>
        <w:tc>
          <w:tcPr>
            <w:tcW w:w="1012" w:type="dxa"/>
            <w:vMerge w:val="continue"/>
            <w:vAlign w:val="center"/>
          </w:tcPr>
          <w:p>
            <w:pPr>
              <w:pBdr/>
              <w:ind/>
              <w:jc w:val="center"/>
            </w:pPr>
            <w:r>
              <w:rPr>
                <w:sz w:val="24"/>
                <w:u w:color="auto"/>
              </w:rPr>
              <w:t>吨</w:t>
            </w:r>
            <w:r>
              <w:rPr>
                <w:u/>
              </w:rPr>
            </w:r>
          </w:p>
        </w:tc>
        <w:tc>
          <w:tcPr>
            <w:tcW w:w="1012" w:type="dxa"/>
            <w:vAlign w:val="center"/>
          </w:tcPr>
          <w:p>
            <w:pPr>
              <w:pBdr/>
              <w:ind/>
              <w:jc w:val="center"/>
            </w:pPr>
            <w:r>
              <w:rPr>
                <w:sz w:val="24"/>
                <w:u w:color="auto"/>
              </w:rPr>
              <w:t>辅料</w:t>
            </w:r>
            <w:r>
              <w:rPr>
                <w:u/>
              </w:rPr>
            </w:r>
          </w:p>
        </w:tc>
        <w:tc>
          <w:tcPr>
            <w:tcW w:w="1012" w:type="dxa"/>
            <w:vAlign w:val="center"/>
          </w:tcPr>
          <w:p>
            <w:pPr>
              <w:pBdr/>
              <w:ind/>
              <w:jc w:val="center"/>
            </w:pPr>
            <w:r>
              <w:rPr>
                <w:sz w:val="24"/>
                <w:u w:color="auto"/>
              </w:rPr>
              <w:t>甲醇</w:t>
            </w:r>
            <w:r>
              <w:rPr>
                <w:u/>
              </w:rPr>
            </w:r>
          </w:p>
        </w:tc>
        <w:tc>
          <w:tcPr>
            <w:tcW w:w="1012" w:type="dxa"/>
            <w:vAlign w:val="center"/>
          </w:tcPr>
          <w:p>
            <w:pPr>
              <w:pBdr/>
              <w:ind/>
              <w:jc w:val="center"/>
            </w:pPr>
            <w:r>
              <w:rPr>
                <w:sz w:val="24"/>
                <w:u w:color="auto"/>
              </w:rPr>
              <w:t>5600</w:t>
            </w:r>
            <w:r>
              <w:rPr>
                <w:u/>
              </w:rPr>
            </w:r>
          </w:p>
        </w:tc>
        <w:tc>
          <w:tcPr>
            <w:tcW w:w="1012" w:type="dxa"/>
            <w:vAlign w:val="center"/>
          </w:tcPr>
          <w:p>
            <w:pPr>
              <w:pBdr/>
              <w:ind/>
              <w:jc w:val="center"/>
            </w:pPr>
            <w:r>
              <w:rPr>
                <w:sz w:val="24"/>
                <w:u w:color="auto"/>
              </w:rPr>
              <w:t>吨</w:t>
            </w:r>
            <w:r>
              <w:rPr>
                <w:u/>
              </w:rPr>
            </w:r>
          </w:p>
        </w:tc>
      </w:tr>
      <w:tr>
        <w:trPr>
          <w:trHeight w:val="850" w:hRule="atLeast"/>
        </w:trPr>
        <w:tc>
          <w:tcPr>
            <w:tcW w:w="1012" w:type="dxa"/>
            <w:vMerge w:val="restart"/>
            <w:vAlign w:val="center"/>
          </w:tcPr>
          <w:p>
            <w:pPr>
              <w:pBdr/>
              <w:ind/>
              <w:jc w:val="center"/>
            </w:pPr>
            <w:r>
              <w:rPr>
                <w:sz w:val="24"/>
                <w:u w:color="auto"/>
              </w:rPr>
              <w:t>二苯醚生产装置</w:t>
            </w:r>
            <w:r>
              <w:rPr>
                <w:u/>
              </w:rPr>
            </w:r>
          </w:p>
        </w:tc>
        <w:tc>
          <w:tcPr>
            <w:tcW w:w="1012" w:type="dxa"/>
            <w:vMerge w:val="restart"/>
            <w:vAlign w:val="center"/>
          </w:tcPr>
          <w:p>
            <w:pPr>
              <w:pBdr/>
              <w:ind/>
              <w:jc w:val="center"/>
            </w:pPr>
            <w:r>
              <w:rPr>
                <w:sz w:val="24"/>
                <w:u w:color="auto"/>
              </w:rPr>
              <w:t>PU003</w:t>
            </w:r>
            <w:r>
              <w:rPr>
                <w:u/>
              </w:rPr>
            </w:r>
          </w:p>
        </w:tc>
        <w:tc>
          <w:tcPr>
            <w:tcW w:w="1012" w:type="dxa"/>
            <w:vMerge w:val="restart"/>
            <w:vAlign w:val="center"/>
          </w:tcPr>
          <w:p>
            <w:pPr>
              <w:pBdr/>
              <w:ind/>
              <w:jc w:val="center"/>
            </w:pPr>
            <w:r>
              <w:rPr>
                <w:sz w:val="24"/>
                <w:u w:color="auto"/>
              </w:rPr>
              <w:t>二苯醚装置、氯化钾装置</w:t>
            </w:r>
            <w:r>
              <w:rPr>
                <w:u/>
              </w:rPr>
            </w:r>
          </w:p>
        </w:tc>
        <w:tc>
          <w:tcPr>
            <w:tcW w:w="1012" w:type="dxa"/>
            <w:vMerge w:val="restart"/>
            <w:vAlign w:val="center"/>
          </w:tcPr>
          <w:p>
            <w:pPr>
              <w:pBdr/>
              <w:ind/>
              <w:jc w:val="center"/>
            </w:pPr>
            <w:r>
              <w:rPr>
                <w:sz w:val="24"/>
                <w:u w:color="auto"/>
              </w:rPr>
              <w:t>缩合反应</w:t>
            </w:r>
            <w:r>
              <w:rPr>
                <w:u/>
              </w:rPr>
            </w:r>
          </w:p>
        </w:tc>
        <w:tc>
          <w:tcPr>
            <w:tcW w:w="1012" w:type="dxa"/>
            <w:vMerge w:val="restart"/>
            <w:vAlign w:val="center"/>
          </w:tcPr>
          <w:p>
            <w:pPr>
              <w:pBdr/>
              <w:ind/>
              <w:jc w:val="center"/>
            </w:pPr>
            <w:r>
              <w:rPr>
                <w:sz w:val="24"/>
                <w:u w:color="auto"/>
              </w:rPr>
              <w:t>10000</w:t>
            </w:r>
            <w:r>
              <w:rPr>
                <w:u/>
              </w:rPr>
            </w:r>
          </w:p>
        </w:tc>
        <w:tc>
          <w:tcPr>
            <w:tcW w:w="1012" w:type="dxa"/>
            <w:vMerge w:val="restart"/>
            <w:vAlign w:val="center"/>
          </w:tcPr>
          <w:p>
            <w:pPr>
              <w:pBdr/>
              <w:ind/>
              <w:jc w:val="center"/>
            </w:pPr>
            <w:r>
              <w:rPr>
                <w:sz w:val="24"/>
                <w:u w:color="auto"/>
              </w:rPr>
              <w:t>吨</w:t>
            </w:r>
            <w:r>
              <w:rPr>
                <w:u/>
              </w:rPr>
            </w:r>
          </w:p>
        </w:tc>
        <w:tc>
          <w:tcPr>
            <w:tcW w:w="1012" w:type="dxa"/>
            <w:vMerge w:val="restart"/>
            <w:vAlign w:val="center"/>
          </w:tcPr>
          <w:p>
            <w:pPr>
              <w:pBdr/>
              <w:ind/>
              <w:jc w:val="center"/>
            </w:pPr>
            <w:r>
              <w:rPr>
                <w:sz w:val="24"/>
                <w:u w:color="auto"/>
              </w:rPr>
              <w:t>最终产品</w:t>
            </w:r>
            <w:r>
              <w:rPr>
                <w:u/>
              </w:rPr>
            </w:r>
          </w:p>
        </w:tc>
        <w:tc>
          <w:tcPr>
            <w:tcW w:w="1012" w:type="dxa"/>
            <w:vMerge w:val="restart"/>
            <w:vAlign w:val="center"/>
          </w:tcPr>
          <w:p>
            <w:pPr>
              <w:pBdr/>
              <w:ind/>
              <w:jc w:val="center"/>
            </w:pPr>
            <w:r>
              <w:rPr>
                <w:sz w:val="24"/>
                <w:u w:color="auto"/>
              </w:rPr>
              <w:t>二苯醚</w:t>
            </w:r>
            <w:r>
              <w:rPr>
                <w:u/>
              </w:rPr>
            </w:r>
          </w:p>
        </w:tc>
        <w:tc>
          <w:tcPr>
            <w:tcW w:w="1012" w:type="dxa"/>
            <w:vMerge w:val="restart"/>
            <w:vAlign w:val="center"/>
          </w:tcPr>
          <w:p>
            <w:pPr>
              <w:pBdr/>
              <w:ind/>
              <w:jc w:val="center"/>
            </w:pPr>
            <w:r>
              <w:rPr>
                <w:sz w:val="24"/>
                <w:u w:color="auto"/>
              </w:rPr>
              <w:t>10000</w:t>
            </w:r>
            <w:r>
              <w:rPr>
                <w:u/>
              </w:rPr>
            </w:r>
          </w:p>
        </w:tc>
        <w:tc>
          <w:tcPr>
            <w:tcW w:w="1012" w:type="dxa"/>
            <w:vMerge w:val="restart"/>
            <w:vAlign w:val="center"/>
          </w:tcPr>
          <w:p>
            <w:pPr>
              <w:pBdr/>
              <w:ind/>
              <w:jc w:val="center"/>
            </w:pPr>
            <w:r>
              <w:rPr>
                <w:sz w:val="24"/>
                <w:u w:color="auto"/>
              </w:rPr>
              <w:t>吨</w:t>
            </w:r>
            <w:r>
              <w:rPr>
                <w:u/>
              </w:rPr>
            </w:r>
          </w:p>
        </w:tc>
        <w:tc>
          <w:tcPr>
            <w:tcW w:w="1012" w:type="dxa"/>
            <w:vAlign w:val="center"/>
          </w:tcPr>
          <w:p>
            <w:pPr>
              <w:pBdr/>
              <w:ind/>
              <w:jc w:val="center"/>
            </w:pPr>
            <w:r>
              <w:rPr>
                <w:sz w:val="24"/>
                <w:u w:color="auto"/>
              </w:rPr>
              <w:t>原料</w:t>
            </w:r>
            <w:r>
              <w:rPr>
                <w:u/>
              </w:rPr>
            </w:r>
          </w:p>
        </w:tc>
        <w:tc>
          <w:tcPr>
            <w:tcW w:w="1012" w:type="dxa"/>
            <w:vAlign w:val="center"/>
          </w:tcPr>
          <w:p>
            <w:pPr>
              <w:pBdr/>
              <w:ind/>
              <w:jc w:val="center"/>
            </w:pPr>
            <w:r>
              <w:rPr>
                <w:sz w:val="24"/>
                <w:u w:color="auto"/>
              </w:rPr>
              <w:t>氯化苯</w:t>
            </w:r>
            <w:r>
              <w:rPr>
                <w:u/>
              </w:rPr>
            </w:r>
          </w:p>
        </w:tc>
        <w:tc>
          <w:tcPr>
            <w:tcW w:w="1012" w:type="dxa"/>
            <w:vAlign w:val="center"/>
          </w:tcPr>
          <w:p>
            <w:pPr>
              <w:pBdr/>
              <w:ind/>
              <w:jc w:val="center"/>
            </w:pPr>
            <w:r>
              <w:rPr>
                <w:sz w:val="24"/>
                <w:u w:color="auto"/>
              </w:rPr>
              <w:t>6780.6</w:t>
            </w:r>
            <w:r>
              <w:rPr>
                <w:u/>
              </w:rPr>
            </w:r>
          </w:p>
        </w:tc>
        <w:tc>
          <w:tcPr>
            <w:tcW w:w="1012" w:type="dxa"/>
            <w:vAlign w:val="center"/>
          </w:tcPr>
          <w:p>
            <w:pPr>
              <w:pBdr/>
              <w:ind/>
              <w:jc w:val="center"/>
            </w:pPr>
            <w:r>
              <w:rPr>
                <w:sz w:val="24"/>
                <w:u w:color="auto"/>
              </w:rPr>
              <w:t>吨</w:t>
            </w:r>
            <w:r>
              <w:rPr>
                <w:u/>
              </w:rPr>
            </w:r>
          </w:p>
        </w:tc>
      </w:tr>
      <w:tr>
        <w:trPr>
          <w:trHeight w:val="850" w:hRule="atLeast"/>
        </w:trPr>
        <w:tc>
          <w:tcPr>
            <w:tcW w:w="1012" w:type="dxa"/>
            <w:vMerge w:val="continue"/>
            <w:vAlign w:val="center"/>
          </w:tcPr>
          <w:p>
            <w:pPr>
              <w:pBdr/>
              <w:ind/>
              <w:jc w:val="center"/>
            </w:pPr>
            <w:r>
              <w:rPr>
                <w:sz w:val="24"/>
                <w:u w:color="auto"/>
              </w:rPr>
              <w:t>二苯醚生产装置</w:t>
            </w:r>
            <w:r>
              <w:rPr>
                <w:u/>
              </w:rPr>
            </w:r>
          </w:p>
        </w:tc>
        <w:tc>
          <w:tcPr>
            <w:tcW w:w="1012" w:type="dxa"/>
            <w:vMerge w:val="continue"/>
            <w:vAlign w:val="center"/>
          </w:tcPr>
          <w:p>
            <w:pPr>
              <w:pBdr/>
              <w:ind/>
              <w:jc w:val="center"/>
            </w:pPr>
            <w:r>
              <w:rPr>
                <w:sz w:val="24"/>
                <w:u w:color="auto"/>
              </w:rPr>
              <w:t>PU003</w:t>
            </w:r>
            <w:r>
              <w:rPr>
                <w:u/>
              </w:rPr>
            </w:r>
          </w:p>
        </w:tc>
        <w:tc>
          <w:tcPr>
            <w:tcW w:w="1012" w:type="dxa"/>
            <w:vMerge w:val="continue"/>
            <w:vAlign w:val="center"/>
          </w:tcPr>
          <w:p>
            <w:pPr>
              <w:pBdr/>
              <w:ind/>
              <w:jc w:val="center"/>
            </w:pPr>
            <w:r>
              <w:rPr>
                <w:sz w:val="24"/>
                <w:u w:color="auto"/>
              </w:rPr>
              <w:t>二苯醚装置、氯化钾装置</w:t>
            </w:r>
            <w:r>
              <w:rPr>
                <w:u/>
              </w:rPr>
            </w:r>
          </w:p>
        </w:tc>
        <w:tc>
          <w:tcPr>
            <w:tcW w:w="1012" w:type="dxa"/>
            <w:vMerge w:val="continue"/>
            <w:vAlign w:val="center"/>
          </w:tcPr>
          <w:p>
            <w:pPr>
              <w:pBdr/>
              <w:ind/>
              <w:jc w:val="center"/>
            </w:pPr>
            <w:r>
              <w:rPr>
                <w:sz w:val="24"/>
                <w:u w:color="auto"/>
              </w:rPr>
              <w:t>缩合反应</w:t>
            </w:r>
            <w:r>
              <w:rPr>
                <w:u/>
              </w:rPr>
            </w:r>
          </w:p>
        </w:tc>
        <w:tc>
          <w:tcPr>
            <w:tcW w:w="1012" w:type="dxa"/>
            <w:vMerge w:val="continue"/>
            <w:vAlign w:val="center"/>
          </w:tcPr>
          <w:p>
            <w:pPr>
              <w:pBdr/>
              <w:ind/>
              <w:jc w:val="center"/>
            </w:pPr>
            <w:r>
              <w:rPr>
                <w:sz w:val="24"/>
                <w:u w:color="auto"/>
              </w:rPr>
              <w:t>10000</w:t>
            </w:r>
            <w:r>
              <w:rPr>
                <w:u/>
              </w:rPr>
            </w:r>
          </w:p>
        </w:tc>
        <w:tc>
          <w:tcPr>
            <w:tcW w:w="1012" w:type="dxa"/>
            <w:vMerge w:val="continue"/>
            <w:vAlign w:val="center"/>
          </w:tcPr>
          <w:p>
            <w:pPr>
              <w:pBdr/>
              <w:ind/>
              <w:jc w:val="center"/>
            </w:pPr>
            <w:r>
              <w:rPr>
                <w:sz w:val="24"/>
                <w:u w:color="auto"/>
              </w:rPr>
              <w:t>吨</w:t>
            </w:r>
            <w:r>
              <w:rPr>
                <w:u/>
              </w:rPr>
            </w:r>
          </w:p>
        </w:tc>
        <w:tc>
          <w:tcPr>
            <w:tcW w:w="1012" w:type="dxa"/>
            <w:vMerge w:val="continue"/>
            <w:vAlign w:val="center"/>
          </w:tcPr>
          <w:p>
            <w:pPr>
              <w:pBdr/>
              <w:ind/>
              <w:jc w:val="center"/>
            </w:pPr>
            <w:r>
              <w:rPr>
                <w:sz w:val="24"/>
                <w:u w:color="auto"/>
              </w:rPr>
              <w:t>最终产品</w:t>
            </w:r>
            <w:r>
              <w:rPr>
                <w:u/>
              </w:rPr>
            </w:r>
          </w:p>
        </w:tc>
        <w:tc>
          <w:tcPr>
            <w:tcW w:w="1012" w:type="dxa"/>
            <w:vMerge w:val="continue"/>
            <w:vAlign w:val="center"/>
          </w:tcPr>
          <w:p>
            <w:pPr>
              <w:pBdr/>
              <w:ind/>
              <w:jc w:val="center"/>
            </w:pPr>
            <w:r>
              <w:rPr>
                <w:sz w:val="24"/>
                <w:u w:color="auto"/>
              </w:rPr>
              <w:t>二苯醚</w:t>
            </w:r>
            <w:r>
              <w:rPr>
                <w:u/>
              </w:rPr>
            </w:r>
          </w:p>
        </w:tc>
        <w:tc>
          <w:tcPr>
            <w:tcW w:w="1012" w:type="dxa"/>
            <w:vMerge w:val="continue"/>
            <w:vAlign w:val="center"/>
          </w:tcPr>
          <w:p>
            <w:pPr>
              <w:pBdr/>
              <w:ind/>
              <w:jc w:val="center"/>
            </w:pPr>
            <w:r>
              <w:rPr>
                <w:sz w:val="24"/>
                <w:u w:color="auto"/>
              </w:rPr>
              <w:t>10000</w:t>
            </w:r>
            <w:r>
              <w:rPr>
                <w:u/>
              </w:rPr>
            </w:r>
          </w:p>
        </w:tc>
        <w:tc>
          <w:tcPr>
            <w:tcW w:w="1012" w:type="dxa"/>
            <w:vMerge w:val="continue"/>
            <w:vAlign w:val="center"/>
          </w:tcPr>
          <w:p>
            <w:pPr>
              <w:pBdr/>
              <w:ind/>
              <w:jc w:val="center"/>
            </w:pPr>
            <w:r>
              <w:rPr>
                <w:sz w:val="24"/>
                <w:u w:color="auto"/>
              </w:rPr>
              <w:t>吨</w:t>
            </w:r>
            <w:r>
              <w:rPr>
                <w:u/>
              </w:rPr>
            </w:r>
          </w:p>
        </w:tc>
        <w:tc>
          <w:tcPr>
            <w:tcW w:w="1012" w:type="dxa"/>
            <w:vAlign w:val="center"/>
          </w:tcPr>
          <w:p>
            <w:pPr>
              <w:pBdr/>
              <w:ind/>
              <w:jc w:val="center"/>
            </w:pPr>
            <w:r>
              <w:rPr>
                <w:sz w:val="24"/>
                <w:u w:color="auto"/>
              </w:rPr>
              <w:t>辅料</w:t>
            </w:r>
            <w:r>
              <w:rPr>
                <w:u/>
              </w:rPr>
            </w:r>
          </w:p>
        </w:tc>
        <w:tc>
          <w:tcPr>
            <w:tcW w:w="1012" w:type="dxa"/>
            <w:vAlign w:val="center"/>
          </w:tcPr>
          <w:p>
            <w:pPr>
              <w:pBdr/>
              <w:ind/>
              <w:jc w:val="center"/>
            </w:pPr>
            <w:r>
              <w:rPr>
                <w:sz w:val="24"/>
                <w:u w:color="auto"/>
              </w:rPr>
              <w:t>氢氧化钾</w:t>
            </w:r>
            <w:r>
              <w:rPr>
                <w:u/>
              </w:rPr>
            </w:r>
          </w:p>
        </w:tc>
        <w:tc>
          <w:tcPr>
            <w:tcW w:w="1012" w:type="dxa"/>
            <w:vAlign w:val="center"/>
          </w:tcPr>
          <w:p>
            <w:pPr>
              <w:pBdr/>
              <w:ind/>
              <w:jc w:val="center"/>
            </w:pPr>
            <w:r>
              <w:rPr>
                <w:sz w:val="24"/>
                <w:u w:color="auto"/>
              </w:rPr>
              <w:t>3125</w:t>
            </w:r>
            <w:r>
              <w:rPr>
                <w:u/>
              </w:rPr>
            </w:r>
          </w:p>
        </w:tc>
        <w:tc>
          <w:tcPr>
            <w:tcW w:w="1012" w:type="dxa"/>
            <w:vAlign w:val="center"/>
          </w:tcPr>
          <w:p>
            <w:pPr>
              <w:pBdr/>
              <w:ind/>
              <w:jc w:val="center"/>
            </w:pPr>
            <w:r>
              <w:rPr>
                <w:sz w:val="24"/>
                <w:u w:color="auto"/>
              </w:rPr>
              <w:t>吨</w:t>
            </w:r>
            <w:r>
              <w:rPr>
                <w:u/>
              </w:rPr>
            </w:r>
          </w:p>
        </w:tc>
      </w:tr>
      <w:tr>
        <w:trPr>
          <w:trHeight w:val="850" w:hRule="atLeast"/>
        </w:trPr>
        <w:tc>
          <w:tcPr>
            <w:tcW w:w="1012" w:type="dxa"/>
            <w:vMerge w:val="restart"/>
            <w:vAlign w:val="center"/>
          </w:tcPr>
          <w:p>
            <w:pPr>
              <w:pBdr/>
              <w:ind/>
              <w:jc w:val="center"/>
            </w:pPr>
            <w:r>
              <w:rPr>
                <w:sz w:val="24"/>
                <w:u w:color="auto"/>
              </w:rPr>
              <w:t>污水处理装置</w:t>
            </w:r>
            <w:r>
              <w:rPr>
                <w:u/>
              </w:rPr>
            </w:r>
          </w:p>
        </w:tc>
        <w:tc>
          <w:tcPr>
            <w:tcW w:w="1012" w:type="dxa"/>
            <w:vMerge w:val="restart"/>
            <w:vAlign w:val="center"/>
          </w:tcPr>
          <w:p>
            <w:pPr>
              <w:pBdr/>
              <w:ind/>
              <w:jc w:val="center"/>
            </w:pPr>
            <w:r>
              <w:rPr>
                <w:sz w:val="24"/>
                <w:u w:color="auto"/>
              </w:rPr>
              <w:t>PU004</w:t>
            </w:r>
            <w:r>
              <w:rPr>
                <w:u/>
              </w:rPr>
            </w:r>
          </w:p>
        </w:tc>
        <w:tc>
          <w:tcPr>
            <w:tcW w:w="1012" w:type="dxa"/>
            <w:vMerge w:val="restart"/>
            <w:vAlign w:val="center"/>
          </w:tcPr>
          <w:p>
            <w:pPr>
              <w:pBdr/>
              <w:ind/>
              <w:jc w:val="center"/>
            </w:pPr>
            <w:r>
              <w:rPr>
                <w:sz w:val="24"/>
                <w:u w:color="auto"/>
              </w:rPr>
              <w:t>树脂吸附、芬顿氧化、MVR蒸发浓缩</w:t>
            </w:r>
            <w:r>
              <w:rPr>
                <w:u/>
              </w:rPr>
            </w:r>
          </w:p>
        </w:tc>
        <w:tc>
          <w:tcPr>
            <w:tcW w:w="1012" w:type="dxa"/>
            <w:vMerge w:val="restart"/>
            <w:vAlign w:val="center"/>
          </w:tcPr>
          <w:p>
            <w:pPr>
              <w:pBdr/>
              <w:ind/>
              <w:jc w:val="center"/>
            </w:pPr>
            <w:r>
              <w:rPr>
                <w:sz w:val="24"/>
                <w:u w:color="auto"/>
              </w:rPr>
              <w:t>芬顿氧化，NVR</w:t>
            </w:r>
            <w:r>
              <w:rPr>
                <w:u/>
              </w:rPr>
            </w:r>
          </w:p>
        </w:tc>
        <w:tc>
          <w:tcPr>
            <w:tcW w:w="1012" w:type="dxa"/>
            <w:vMerge w:val="restart"/>
            <w:vAlign w:val="center"/>
          </w:tcPr>
          <w:p>
            <w:pPr>
              <w:pBdr/>
              <w:ind/>
              <w:jc w:val="center"/>
            </w:pPr>
            <w:r>
              <w:rPr>
                <w:sz w:val="24"/>
                <w:u w:color="auto"/>
              </w:rPr>
              <w:t>465250</w:t>
            </w:r>
            <w:r>
              <w:rPr>
                <w:u/>
              </w:rPr>
            </w:r>
          </w:p>
        </w:tc>
        <w:tc>
          <w:tcPr>
            <w:tcW w:w="1012" w:type="dxa"/>
            <w:vMerge w:val="restart"/>
            <w:vAlign w:val="center"/>
          </w:tcPr>
          <w:p>
            <w:pPr>
              <w:pBdr/>
              <w:ind/>
              <w:jc w:val="center"/>
            </w:pPr>
            <w:r>
              <w:rPr>
                <w:sz w:val="24"/>
                <w:u w:color="auto"/>
              </w:rPr>
              <w:t>吨</w:t>
            </w:r>
            <w:r>
              <w:rPr>
                <w:u/>
              </w:rPr>
            </w:r>
          </w:p>
        </w:tc>
        <w:tc>
          <w:tcPr>
            <w:tcW w:w="1012" w:type="dxa"/>
            <w:vMerge w:val="restart"/>
            <w:vAlign w:val="center"/>
          </w:tcPr>
          <w:p>
            <w:pPr>
              <w:pBdr/>
              <w:ind/>
              <w:jc w:val="center"/>
            </w:pPr>
            <w:r>
              <w:rPr>
                <w:sz w:val="24"/>
                <w:u w:color="auto"/>
              </w:rPr>
              <w:t>最终产品</w:t>
            </w:r>
            <w:r>
              <w:rPr>
                <w:u/>
              </w:rPr>
            </w:r>
          </w:p>
        </w:tc>
        <w:tc>
          <w:tcPr>
            <w:tcW w:w="1012" w:type="dxa"/>
            <w:vMerge w:val="restart"/>
            <w:vAlign w:val="center"/>
          </w:tcPr>
          <w:p>
            <w:pPr>
              <w:pBdr/>
              <w:ind/>
              <w:jc w:val="center"/>
            </w:pPr>
            <w:r>
              <w:rPr>
                <w:sz w:val="24"/>
                <w:u w:color="auto"/>
              </w:rPr>
              <w:t>废水处置规模</w:t>
            </w:r>
            <w:r>
              <w:rPr>
                <w:u/>
              </w:rPr>
            </w:r>
          </w:p>
        </w:tc>
        <w:tc>
          <w:tcPr>
            <w:tcW w:w="1012" w:type="dxa"/>
            <w:vMerge w:val="restart"/>
            <w:vAlign w:val="center"/>
          </w:tcPr>
          <w:p>
            <w:pPr>
              <w:pBdr/>
              <w:ind/>
              <w:jc w:val="center"/>
            </w:pPr>
            <w:r>
              <w:rPr>
                <w:sz w:val="24"/>
                <w:u w:color="auto"/>
              </w:rPr>
              <w:t>465250</w:t>
            </w:r>
            <w:r>
              <w:rPr>
                <w:u/>
              </w:rPr>
            </w:r>
          </w:p>
        </w:tc>
        <w:tc>
          <w:tcPr>
            <w:tcW w:w="1012" w:type="dxa"/>
            <w:vMerge w:val="restart"/>
            <w:vAlign w:val="center"/>
          </w:tcPr>
          <w:p>
            <w:pPr>
              <w:pBdr/>
              <w:ind/>
              <w:jc w:val="center"/>
            </w:pPr>
            <w:r>
              <w:rPr>
                <w:sz w:val="24"/>
                <w:u w:color="auto"/>
              </w:rPr>
              <w:t>立方米</w:t>
            </w:r>
            <w:r>
              <w:rPr>
                <w:u/>
              </w:rPr>
            </w:r>
          </w:p>
        </w:tc>
        <w:tc>
          <w:tcPr>
            <w:tcW w:w="1012" w:type="dxa"/>
            <w:vAlign w:val="center"/>
          </w:tcPr>
          <w:p>
            <w:pPr>
              <w:pBdr/>
              <w:ind/>
              <w:jc w:val="center"/>
            </w:pPr>
            <w:r>
              <w:rPr>
                <w:sz w:val="24"/>
                <w:u w:color="auto"/>
              </w:rPr>
              <w:t>原料</w:t>
            </w:r>
            <w:r>
              <w:rPr>
                <w:u/>
              </w:rPr>
            </w:r>
          </w:p>
        </w:tc>
        <w:tc>
          <w:tcPr>
            <w:tcW w:w="1012" w:type="dxa"/>
            <w:vAlign w:val="center"/>
          </w:tcPr>
          <w:p>
            <w:pPr>
              <w:pBdr/>
              <w:ind/>
              <w:jc w:val="center"/>
            </w:pPr>
            <w:r>
              <w:rPr>
                <w:sz w:val="24"/>
                <w:u w:color="auto"/>
              </w:rPr>
              <w:t>原水</w:t>
            </w:r>
            <w:r>
              <w:rPr>
                <w:u/>
              </w:rPr>
            </w:r>
          </w:p>
        </w:tc>
        <w:tc>
          <w:tcPr>
            <w:tcW w:w="1012" w:type="dxa"/>
            <w:vAlign w:val="center"/>
          </w:tcPr>
          <w:p>
            <w:pPr>
              <w:pBdr/>
              <w:ind/>
              <w:jc w:val="center"/>
            </w:pPr>
            <w:r>
              <w:rPr>
                <w:sz w:val="24"/>
                <w:u w:color="auto"/>
              </w:rPr>
              <w:t>465250</w:t>
            </w:r>
            <w:r>
              <w:rPr>
                <w:u/>
              </w:rPr>
            </w:r>
          </w:p>
        </w:tc>
        <w:tc>
          <w:tcPr>
            <w:tcW w:w="1012" w:type="dxa"/>
            <w:vAlign w:val="center"/>
          </w:tcPr>
          <w:p>
            <w:pPr>
              <w:pBdr/>
              <w:ind/>
              <w:jc w:val="center"/>
            </w:pPr>
            <w:r>
              <w:rPr>
                <w:sz w:val="24"/>
                <w:u w:color="auto"/>
              </w:rPr>
              <w:t>吨</w:t>
            </w:r>
            <w:r>
              <w:rPr>
                <w:u/>
              </w:rPr>
            </w:r>
          </w:p>
        </w:tc>
      </w:tr>
      <w:tr>
        <w:trPr>
          <w:trHeight w:val="850" w:hRule="atLeast"/>
        </w:trPr>
        <w:tc>
          <w:tcPr>
            <w:tcW w:w="1012" w:type="dxa"/>
            <w:vMerge w:val="continue"/>
            <w:vAlign w:val="center"/>
          </w:tcPr>
          <w:p>
            <w:pPr>
              <w:pBdr/>
              <w:ind/>
              <w:jc w:val="center"/>
            </w:pPr>
            <w:r>
              <w:rPr>
                <w:sz w:val="24"/>
                <w:u w:color="auto"/>
              </w:rPr>
              <w:t>污水处理装置</w:t>
            </w:r>
            <w:r>
              <w:rPr>
                <w:u/>
              </w:rPr>
            </w:r>
          </w:p>
        </w:tc>
        <w:tc>
          <w:tcPr>
            <w:tcW w:w="1012" w:type="dxa"/>
            <w:vMerge w:val="continue"/>
            <w:vAlign w:val="center"/>
          </w:tcPr>
          <w:p>
            <w:pPr>
              <w:pBdr/>
              <w:ind/>
              <w:jc w:val="center"/>
            </w:pPr>
            <w:r>
              <w:rPr>
                <w:sz w:val="24"/>
                <w:u w:color="auto"/>
              </w:rPr>
              <w:t>PU004</w:t>
            </w:r>
            <w:r>
              <w:rPr>
                <w:u/>
              </w:rPr>
            </w:r>
          </w:p>
        </w:tc>
        <w:tc>
          <w:tcPr>
            <w:tcW w:w="1012" w:type="dxa"/>
            <w:vMerge w:val="continue"/>
            <w:vAlign w:val="center"/>
          </w:tcPr>
          <w:p>
            <w:pPr>
              <w:pBdr/>
              <w:ind/>
              <w:jc w:val="center"/>
            </w:pPr>
            <w:r>
              <w:rPr>
                <w:sz w:val="24"/>
                <w:u w:color="auto"/>
              </w:rPr>
              <w:t>树脂吸附、芬顿氧化、MVR蒸发浓缩</w:t>
            </w:r>
            <w:r>
              <w:rPr>
                <w:u/>
              </w:rPr>
            </w:r>
          </w:p>
        </w:tc>
        <w:tc>
          <w:tcPr>
            <w:tcW w:w="1012" w:type="dxa"/>
            <w:vMerge w:val="continue"/>
            <w:vAlign w:val="center"/>
          </w:tcPr>
          <w:p>
            <w:pPr>
              <w:pBdr/>
              <w:ind/>
              <w:jc w:val="center"/>
            </w:pPr>
            <w:r>
              <w:rPr>
                <w:sz w:val="24"/>
                <w:u w:color="auto"/>
              </w:rPr>
              <w:t>芬顿氧化，NVR</w:t>
            </w:r>
            <w:r>
              <w:rPr>
                <w:u/>
              </w:rPr>
            </w:r>
          </w:p>
        </w:tc>
        <w:tc>
          <w:tcPr>
            <w:tcW w:w="1012" w:type="dxa"/>
            <w:vMerge w:val="continue"/>
            <w:vAlign w:val="center"/>
          </w:tcPr>
          <w:p>
            <w:pPr>
              <w:pBdr/>
              <w:ind/>
              <w:jc w:val="center"/>
            </w:pPr>
            <w:r>
              <w:rPr>
                <w:sz w:val="24"/>
                <w:u w:color="auto"/>
              </w:rPr>
              <w:t>465250</w:t>
            </w:r>
            <w:r>
              <w:rPr>
                <w:u/>
              </w:rPr>
            </w:r>
          </w:p>
        </w:tc>
        <w:tc>
          <w:tcPr>
            <w:tcW w:w="1012" w:type="dxa"/>
            <w:vMerge w:val="continue"/>
            <w:vAlign w:val="center"/>
          </w:tcPr>
          <w:p>
            <w:pPr>
              <w:pBdr/>
              <w:ind/>
              <w:jc w:val="center"/>
            </w:pPr>
            <w:r>
              <w:rPr>
                <w:sz w:val="24"/>
                <w:u w:color="auto"/>
              </w:rPr>
              <w:t>吨</w:t>
            </w:r>
            <w:r>
              <w:rPr>
                <w:u/>
              </w:rPr>
            </w:r>
          </w:p>
        </w:tc>
        <w:tc>
          <w:tcPr>
            <w:tcW w:w="1012" w:type="dxa"/>
            <w:vMerge w:val="continue"/>
            <w:vAlign w:val="center"/>
          </w:tcPr>
          <w:p>
            <w:pPr>
              <w:pBdr/>
              <w:ind/>
              <w:jc w:val="center"/>
            </w:pPr>
            <w:r>
              <w:rPr>
                <w:sz w:val="24"/>
                <w:u w:color="auto"/>
              </w:rPr>
              <w:t>最终产品</w:t>
            </w:r>
            <w:r>
              <w:rPr>
                <w:u/>
              </w:rPr>
            </w:r>
          </w:p>
        </w:tc>
        <w:tc>
          <w:tcPr>
            <w:tcW w:w="1012" w:type="dxa"/>
            <w:vMerge w:val="continue"/>
            <w:vAlign w:val="center"/>
          </w:tcPr>
          <w:p>
            <w:pPr>
              <w:pBdr/>
              <w:ind/>
              <w:jc w:val="center"/>
            </w:pPr>
            <w:r>
              <w:rPr>
                <w:sz w:val="24"/>
                <w:u w:color="auto"/>
              </w:rPr>
              <w:t>废水处置规模</w:t>
            </w:r>
            <w:r>
              <w:rPr>
                <w:u/>
              </w:rPr>
            </w:r>
          </w:p>
        </w:tc>
        <w:tc>
          <w:tcPr>
            <w:tcW w:w="1012" w:type="dxa"/>
            <w:vMerge w:val="continue"/>
            <w:vAlign w:val="center"/>
          </w:tcPr>
          <w:p>
            <w:pPr>
              <w:pBdr/>
              <w:ind/>
              <w:jc w:val="center"/>
            </w:pPr>
            <w:r>
              <w:rPr>
                <w:sz w:val="24"/>
                <w:u w:color="auto"/>
              </w:rPr>
              <w:t>465250</w:t>
            </w:r>
            <w:r>
              <w:rPr>
                <w:u/>
              </w:rPr>
            </w:r>
          </w:p>
        </w:tc>
        <w:tc>
          <w:tcPr>
            <w:tcW w:w="1012" w:type="dxa"/>
            <w:vMerge w:val="continue"/>
            <w:vAlign w:val="center"/>
          </w:tcPr>
          <w:p>
            <w:pPr>
              <w:pBdr/>
              <w:ind/>
              <w:jc w:val="center"/>
            </w:pPr>
            <w:r>
              <w:rPr>
                <w:sz w:val="24"/>
                <w:u w:color="auto"/>
              </w:rPr>
              <w:t>立方米</w:t>
            </w:r>
            <w:r>
              <w:rPr>
                <w:u/>
              </w:rPr>
            </w:r>
          </w:p>
        </w:tc>
        <w:tc>
          <w:tcPr>
            <w:tcW w:w="1012" w:type="dxa"/>
            <w:vAlign w:val="center"/>
          </w:tcPr>
          <w:p>
            <w:pPr>
              <w:pBdr/>
              <w:ind/>
              <w:jc w:val="center"/>
            </w:pPr>
            <w:r>
              <w:rPr>
                <w:sz w:val="24"/>
                <w:u w:color="auto"/>
              </w:rPr>
              <w:t>辅料</w:t>
            </w:r>
            <w:r>
              <w:rPr>
                <w:u/>
              </w:rPr>
            </w:r>
          </w:p>
        </w:tc>
        <w:tc>
          <w:tcPr>
            <w:tcW w:w="1012" w:type="dxa"/>
            <w:vAlign w:val="center"/>
          </w:tcPr>
          <w:p>
            <w:pPr>
              <w:pBdr/>
              <w:ind/>
              <w:jc w:val="center"/>
            </w:pPr>
            <w:r>
              <w:rPr>
                <w:sz w:val="24"/>
                <w:u w:color="auto"/>
              </w:rPr>
              <w:t>双氧水</w:t>
            </w:r>
            <w:r>
              <w:rPr>
                <w:u/>
              </w:rPr>
            </w:r>
          </w:p>
        </w:tc>
        <w:tc>
          <w:tcPr>
            <w:tcW w:w="1012" w:type="dxa"/>
            <w:vAlign w:val="center"/>
          </w:tcPr>
          <w:p>
            <w:pPr>
              <w:pBdr/>
              <w:ind/>
              <w:jc w:val="center"/>
            </w:pPr>
            <w:r>
              <w:rPr>
                <w:sz w:val="24"/>
                <w:u w:color="auto"/>
              </w:rPr>
              <w:t>1000</w:t>
            </w:r>
            <w:r>
              <w:rPr>
                <w:u/>
              </w:rPr>
            </w:r>
          </w:p>
        </w:tc>
        <w:tc>
          <w:tcPr>
            <w:tcW w:w="1012" w:type="dxa"/>
            <w:vAlign w:val="center"/>
          </w:tcPr>
          <w:p>
            <w:pPr>
              <w:pBdr/>
              <w:ind/>
              <w:jc w:val="center"/>
            </w:pPr>
            <w:r>
              <w:rPr>
                <w:sz w:val="24"/>
                <w:u w:color="auto"/>
              </w:rPr>
              <w:t>吨</w:t>
            </w:r>
            <w:r>
              <w:rPr>
                <w:u/>
              </w:rPr>
            </w:r>
          </w:p>
        </w:tc>
      </w:tr>
      <w:tr>
        <w:trPr>
          <w:trHeight w:val="850" w:hRule="atLeast"/>
        </w:trPr>
        <w:tc>
          <w:tcPr>
            <w:tcW w:w="1012" w:type="dxa"/>
            <w:vMerge w:val="restart"/>
            <w:vAlign w:val="center"/>
          </w:tcPr>
          <w:p>
            <w:pPr>
              <w:pBdr/>
              <w:ind/>
              <w:jc w:val="center"/>
            </w:pPr>
            <w:r>
              <w:rPr>
                <w:sz w:val="24"/>
                <w:u w:color="auto"/>
              </w:rPr>
              <w:t>氯苯生产装置</w:t>
            </w:r>
            <w:r>
              <w:rPr>
                <w:u/>
              </w:rPr>
            </w:r>
          </w:p>
        </w:tc>
        <w:tc>
          <w:tcPr>
            <w:tcW w:w="1012" w:type="dxa"/>
            <w:vMerge w:val="restart"/>
            <w:vAlign w:val="center"/>
          </w:tcPr>
          <w:p>
            <w:pPr>
              <w:pBdr/>
              <w:ind/>
              <w:jc w:val="center"/>
            </w:pPr>
            <w:r>
              <w:rPr>
                <w:sz w:val="24"/>
                <w:u w:color="auto"/>
              </w:rPr>
              <w:t>PU005</w:t>
            </w:r>
            <w:r>
              <w:rPr>
                <w:u/>
              </w:rPr>
            </w:r>
          </w:p>
        </w:tc>
        <w:tc>
          <w:tcPr>
            <w:tcW w:w="1012" w:type="dxa"/>
            <w:vMerge w:val="restart"/>
            <w:vAlign w:val="center"/>
          </w:tcPr>
          <w:p>
            <w:pPr>
              <w:pBdr/>
              <w:ind/>
              <w:jc w:val="center"/>
            </w:pPr>
            <w:r>
              <w:rPr>
                <w:sz w:val="24"/>
                <w:u w:color="auto"/>
              </w:rPr>
              <w:t>氯化苯生产装置</w:t>
            </w:r>
            <w:r>
              <w:rPr>
                <w:u/>
              </w:rPr>
            </w:r>
          </w:p>
        </w:tc>
        <w:tc>
          <w:tcPr>
            <w:tcW w:w="1012" w:type="dxa"/>
            <w:vMerge w:val="restart"/>
            <w:vAlign w:val="center"/>
          </w:tcPr>
          <w:p>
            <w:pPr>
              <w:pBdr/>
              <w:ind/>
              <w:jc w:val="center"/>
            </w:pPr>
            <w:r>
              <w:rPr>
                <w:sz w:val="24"/>
                <w:u w:color="auto"/>
              </w:rPr>
              <w:t>氯化反应</w:t>
            </w:r>
            <w:r>
              <w:rPr>
                <w:u/>
              </w:rPr>
            </w:r>
          </w:p>
        </w:tc>
        <w:tc>
          <w:tcPr>
            <w:tcW w:w="1012" w:type="dxa"/>
            <w:vMerge w:val="restart"/>
            <w:vAlign w:val="center"/>
          </w:tcPr>
          <w:p>
            <w:pPr>
              <w:pBdr/>
              <w:ind/>
              <w:jc w:val="center"/>
            </w:pPr>
            <w:r>
              <w:rPr>
                <w:sz w:val="24"/>
                <w:u w:color="auto"/>
              </w:rPr>
              <w:t>100000</w:t>
            </w:r>
            <w:r>
              <w:rPr>
                <w:u/>
              </w:rPr>
            </w:r>
          </w:p>
        </w:tc>
        <w:tc>
          <w:tcPr>
            <w:tcW w:w="1012" w:type="dxa"/>
            <w:vMerge w:val="restart"/>
            <w:vAlign w:val="center"/>
          </w:tcPr>
          <w:p>
            <w:pPr>
              <w:pBdr/>
              <w:ind/>
              <w:jc w:val="center"/>
            </w:pPr>
            <w:r>
              <w:rPr>
                <w:sz w:val="24"/>
                <w:u w:color="auto"/>
              </w:rPr>
              <w:t>吨</w:t>
            </w:r>
            <w:r>
              <w:rPr>
                <w:u/>
              </w:rPr>
            </w:r>
          </w:p>
        </w:tc>
        <w:tc>
          <w:tcPr>
            <w:tcW w:w="1012" w:type="dxa"/>
            <w:vMerge w:val="restart"/>
            <w:vAlign w:val="center"/>
          </w:tcPr>
          <w:p>
            <w:pPr>
              <w:pBdr/>
              <w:ind/>
              <w:jc w:val="center"/>
            </w:pPr>
            <w:r>
              <w:rPr>
                <w:sz w:val="24"/>
                <w:u w:color="auto"/>
              </w:rPr>
              <w:t>最终产品</w:t>
            </w:r>
            <w:r>
              <w:rPr>
                <w:u/>
              </w:rPr>
            </w:r>
          </w:p>
        </w:tc>
        <w:tc>
          <w:tcPr>
            <w:tcW w:w="1012" w:type="dxa"/>
            <w:vMerge w:val="restart"/>
            <w:vAlign w:val="center"/>
          </w:tcPr>
          <w:p>
            <w:pPr>
              <w:pBdr/>
              <w:ind/>
              <w:jc w:val="center"/>
            </w:pPr>
            <w:r>
              <w:rPr>
                <w:sz w:val="24"/>
                <w:u w:color="auto"/>
              </w:rPr>
              <w:t>氯化苯</w:t>
            </w:r>
            <w:r>
              <w:rPr>
                <w:u/>
              </w:rPr>
            </w:r>
          </w:p>
        </w:tc>
        <w:tc>
          <w:tcPr>
            <w:tcW w:w="1012" w:type="dxa"/>
            <w:vMerge w:val="restart"/>
            <w:vAlign w:val="center"/>
          </w:tcPr>
          <w:p>
            <w:pPr>
              <w:pBdr/>
              <w:ind/>
              <w:jc w:val="center"/>
            </w:pPr>
            <w:r>
              <w:rPr>
                <w:sz w:val="24"/>
                <w:u w:color="auto"/>
              </w:rPr>
              <w:t>100000</w:t>
            </w:r>
            <w:r>
              <w:rPr>
                <w:u/>
              </w:rPr>
            </w:r>
          </w:p>
        </w:tc>
        <w:tc>
          <w:tcPr>
            <w:tcW w:w="1012" w:type="dxa"/>
            <w:vMerge w:val="restart"/>
            <w:vAlign w:val="center"/>
          </w:tcPr>
          <w:p>
            <w:pPr>
              <w:pBdr/>
              <w:ind/>
              <w:jc w:val="center"/>
            </w:pPr>
            <w:r>
              <w:rPr>
                <w:sz w:val="24"/>
                <w:u w:color="auto"/>
              </w:rPr>
              <w:t>吨</w:t>
            </w:r>
            <w:r>
              <w:rPr>
                <w:u/>
              </w:rPr>
            </w:r>
          </w:p>
        </w:tc>
        <w:tc>
          <w:tcPr>
            <w:tcW w:w="1012" w:type="dxa"/>
            <w:vAlign w:val="center"/>
          </w:tcPr>
          <w:p>
            <w:pPr>
              <w:pBdr/>
              <w:ind/>
              <w:jc w:val="center"/>
            </w:pPr>
            <w:r>
              <w:rPr>
                <w:sz w:val="24"/>
                <w:u w:color="auto"/>
              </w:rPr>
              <w:t>原料</w:t>
            </w:r>
            <w:r>
              <w:rPr>
                <w:u/>
              </w:rPr>
            </w:r>
          </w:p>
        </w:tc>
        <w:tc>
          <w:tcPr>
            <w:tcW w:w="1012" w:type="dxa"/>
            <w:vAlign w:val="center"/>
          </w:tcPr>
          <w:p>
            <w:pPr>
              <w:pBdr/>
              <w:ind/>
              <w:jc w:val="center"/>
            </w:pPr>
            <w:r>
              <w:rPr>
                <w:sz w:val="24"/>
                <w:u w:color="auto"/>
              </w:rPr>
              <w:t>苯</w:t>
            </w:r>
            <w:r>
              <w:rPr>
                <w:u/>
              </w:rPr>
            </w:r>
          </w:p>
        </w:tc>
        <w:tc>
          <w:tcPr>
            <w:tcW w:w="1012" w:type="dxa"/>
            <w:vAlign w:val="center"/>
          </w:tcPr>
          <w:p>
            <w:pPr>
              <w:pBdr/>
              <w:ind/>
              <w:jc w:val="center"/>
            </w:pPr>
            <w:r>
              <w:rPr>
                <w:sz w:val="24"/>
                <w:u w:color="auto"/>
              </w:rPr>
              <w:t>71400.64</w:t>
            </w:r>
            <w:r>
              <w:rPr>
                <w:u/>
              </w:rPr>
            </w:r>
          </w:p>
        </w:tc>
        <w:tc>
          <w:tcPr>
            <w:tcW w:w="1012" w:type="dxa"/>
            <w:vAlign w:val="center"/>
          </w:tcPr>
          <w:p>
            <w:pPr>
              <w:pBdr/>
              <w:ind/>
              <w:jc w:val="center"/>
            </w:pPr>
            <w:r>
              <w:rPr>
                <w:sz w:val="24"/>
                <w:u w:color="auto"/>
              </w:rPr>
              <w:t>吨</w:t>
            </w:r>
            <w:r>
              <w:rPr>
                <w:u/>
              </w:rPr>
            </w:r>
          </w:p>
        </w:tc>
      </w:tr>
      <w:tr>
        <w:trPr>
          <w:trHeight w:val="850" w:hRule="atLeast"/>
        </w:trPr>
        <w:tc>
          <w:tcPr>
            <w:tcW w:w="1012" w:type="dxa"/>
            <w:vMerge w:val="continue"/>
            <w:vAlign w:val="center"/>
          </w:tcPr>
          <w:p>
            <w:pPr>
              <w:pBdr/>
              <w:ind/>
              <w:jc w:val="center"/>
            </w:pPr>
            <w:r>
              <w:rPr>
                <w:sz w:val="24"/>
                <w:u w:color="auto"/>
              </w:rPr>
              <w:t>氯苯生产装置</w:t>
            </w:r>
            <w:r>
              <w:rPr>
                <w:u/>
              </w:rPr>
            </w:r>
          </w:p>
        </w:tc>
        <w:tc>
          <w:tcPr>
            <w:tcW w:w="1012" w:type="dxa"/>
            <w:vMerge w:val="continue"/>
            <w:vAlign w:val="center"/>
          </w:tcPr>
          <w:p>
            <w:pPr>
              <w:pBdr/>
              <w:ind/>
              <w:jc w:val="center"/>
            </w:pPr>
            <w:r>
              <w:rPr>
                <w:sz w:val="24"/>
                <w:u w:color="auto"/>
              </w:rPr>
              <w:t>PU005</w:t>
            </w:r>
            <w:r>
              <w:rPr>
                <w:u/>
              </w:rPr>
            </w:r>
          </w:p>
        </w:tc>
        <w:tc>
          <w:tcPr>
            <w:tcW w:w="1012" w:type="dxa"/>
            <w:vMerge w:val="continue"/>
            <w:vAlign w:val="center"/>
          </w:tcPr>
          <w:p>
            <w:pPr>
              <w:pBdr/>
              <w:ind/>
              <w:jc w:val="center"/>
            </w:pPr>
            <w:r>
              <w:rPr>
                <w:sz w:val="24"/>
                <w:u w:color="auto"/>
              </w:rPr>
              <w:t>氯化苯生产装置</w:t>
            </w:r>
            <w:r>
              <w:rPr>
                <w:u/>
              </w:rPr>
            </w:r>
          </w:p>
        </w:tc>
        <w:tc>
          <w:tcPr>
            <w:tcW w:w="1012" w:type="dxa"/>
            <w:vMerge w:val="continue"/>
            <w:vAlign w:val="center"/>
          </w:tcPr>
          <w:p>
            <w:pPr>
              <w:pBdr/>
              <w:ind/>
              <w:jc w:val="center"/>
            </w:pPr>
            <w:r>
              <w:rPr>
                <w:sz w:val="24"/>
                <w:u w:color="auto"/>
              </w:rPr>
              <w:t>氯化反应</w:t>
            </w:r>
            <w:r>
              <w:rPr>
                <w:u/>
              </w:rPr>
            </w:r>
          </w:p>
        </w:tc>
        <w:tc>
          <w:tcPr>
            <w:tcW w:w="1012" w:type="dxa"/>
            <w:vMerge w:val="continue"/>
            <w:vAlign w:val="center"/>
          </w:tcPr>
          <w:p>
            <w:pPr>
              <w:pBdr/>
              <w:ind/>
              <w:jc w:val="center"/>
            </w:pPr>
            <w:r>
              <w:rPr>
                <w:sz w:val="24"/>
                <w:u w:color="auto"/>
              </w:rPr>
              <w:t>100000</w:t>
            </w:r>
            <w:r>
              <w:rPr>
                <w:u/>
              </w:rPr>
            </w:r>
          </w:p>
        </w:tc>
        <w:tc>
          <w:tcPr>
            <w:tcW w:w="1012" w:type="dxa"/>
            <w:vMerge w:val="continue"/>
            <w:vAlign w:val="center"/>
          </w:tcPr>
          <w:p>
            <w:pPr>
              <w:pBdr/>
              <w:ind/>
              <w:jc w:val="center"/>
            </w:pPr>
            <w:r>
              <w:rPr>
                <w:sz w:val="24"/>
                <w:u w:color="auto"/>
              </w:rPr>
              <w:t>吨</w:t>
            </w:r>
            <w:r>
              <w:rPr>
                <w:u/>
              </w:rPr>
            </w:r>
          </w:p>
        </w:tc>
        <w:tc>
          <w:tcPr>
            <w:tcW w:w="1012" w:type="dxa"/>
            <w:vMerge w:val="continue"/>
            <w:vAlign w:val="center"/>
          </w:tcPr>
          <w:p>
            <w:pPr>
              <w:pBdr/>
              <w:ind/>
              <w:jc w:val="center"/>
            </w:pPr>
            <w:r>
              <w:rPr>
                <w:sz w:val="24"/>
                <w:u w:color="auto"/>
              </w:rPr>
              <w:t>最终产品</w:t>
            </w:r>
            <w:r>
              <w:rPr>
                <w:u/>
              </w:rPr>
            </w:r>
          </w:p>
        </w:tc>
        <w:tc>
          <w:tcPr>
            <w:tcW w:w="1012" w:type="dxa"/>
            <w:vMerge w:val="continue"/>
            <w:vAlign w:val="center"/>
          </w:tcPr>
          <w:p>
            <w:pPr>
              <w:pBdr/>
              <w:ind/>
              <w:jc w:val="center"/>
            </w:pPr>
            <w:r>
              <w:rPr>
                <w:sz w:val="24"/>
                <w:u w:color="auto"/>
              </w:rPr>
              <w:t>氯化苯</w:t>
            </w:r>
            <w:r>
              <w:rPr>
                <w:u/>
              </w:rPr>
            </w:r>
          </w:p>
        </w:tc>
        <w:tc>
          <w:tcPr>
            <w:tcW w:w="1012" w:type="dxa"/>
            <w:vMerge w:val="continue"/>
            <w:vAlign w:val="center"/>
          </w:tcPr>
          <w:p>
            <w:pPr>
              <w:pBdr/>
              <w:ind/>
              <w:jc w:val="center"/>
            </w:pPr>
            <w:r>
              <w:rPr>
                <w:sz w:val="24"/>
                <w:u w:color="auto"/>
              </w:rPr>
              <w:t>100000</w:t>
            </w:r>
            <w:r>
              <w:rPr>
                <w:u/>
              </w:rPr>
            </w:r>
          </w:p>
        </w:tc>
        <w:tc>
          <w:tcPr>
            <w:tcW w:w="1012" w:type="dxa"/>
            <w:vMerge w:val="continue"/>
            <w:vAlign w:val="center"/>
          </w:tcPr>
          <w:p>
            <w:pPr>
              <w:pBdr/>
              <w:ind/>
              <w:jc w:val="center"/>
            </w:pPr>
            <w:r>
              <w:rPr>
                <w:sz w:val="24"/>
                <w:u w:color="auto"/>
              </w:rPr>
              <w:t>吨</w:t>
            </w:r>
            <w:r>
              <w:rPr>
                <w:u/>
              </w:rPr>
            </w:r>
          </w:p>
        </w:tc>
        <w:tc>
          <w:tcPr>
            <w:tcW w:w="1012" w:type="dxa"/>
            <w:vAlign w:val="center"/>
          </w:tcPr>
          <w:p>
            <w:pPr>
              <w:pBdr/>
              <w:ind/>
              <w:jc w:val="center"/>
            </w:pPr>
            <w:r>
              <w:rPr>
                <w:sz w:val="24"/>
                <w:u w:color="auto"/>
              </w:rPr>
              <w:t>原料</w:t>
            </w:r>
            <w:r>
              <w:rPr>
                <w:u/>
              </w:rPr>
            </w:r>
          </w:p>
        </w:tc>
        <w:tc>
          <w:tcPr>
            <w:tcW w:w="1012" w:type="dxa"/>
            <w:vAlign w:val="center"/>
          </w:tcPr>
          <w:p>
            <w:pPr>
              <w:pBdr/>
              <w:ind/>
              <w:jc w:val="center"/>
            </w:pPr>
            <w:r>
              <w:rPr>
                <w:sz w:val="24"/>
                <w:u w:color="auto"/>
              </w:rPr>
              <w:t>氯气</w:t>
            </w:r>
            <w:r>
              <w:rPr>
                <w:u/>
              </w:rPr>
            </w:r>
          </w:p>
        </w:tc>
        <w:tc>
          <w:tcPr>
            <w:tcW w:w="1012" w:type="dxa"/>
            <w:vAlign w:val="center"/>
          </w:tcPr>
          <w:p>
            <w:pPr>
              <w:pBdr/>
              <w:ind/>
              <w:jc w:val="center"/>
            </w:pPr>
            <w:r>
              <w:rPr>
                <w:sz w:val="24"/>
                <w:u w:color="auto"/>
              </w:rPr>
              <w:t>66270.32</w:t>
            </w:r>
            <w:r>
              <w:rPr>
                <w:u/>
              </w:rPr>
            </w:r>
          </w:p>
        </w:tc>
        <w:tc>
          <w:tcPr>
            <w:tcW w:w="1012" w:type="dxa"/>
            <w:vAlign w:val="center"/>
          </w:tcPr>
          <w:p>
            <w:pPr>
              <w:pBdr/>
              <w:ind/>
              <w:jc w:val="center"/>
            </w:pPr>
            <w:r>
              <w:rPr>
                <w:sz w:val="24"/>
                <w:u w:color="auto"/>
              </w:rPr>
              <w:t>吨</w:t>
            </w:r>
            <w:r>
              <w:rPr>
                <w:u/>
              </w:rPr>
            </w:r>
          </w:p>
        </w:tc>
      </w:tr>
      <w:tr>
        <w:trPr>
          <w:trHeight w:val="850" w:hRule="atLeast"/>
        </w:trPr>
        <w:tc>
          <w:tcPr>
            <w:tcW w:w="1012" w:type="dxa"/>
            <w:vMerge w:val="continue"/>
            <w:vAlign w:val="center"/>
          </w:tcPr>
          <w:p>
            <w:pPr>
              <w:pBdr/>
              <w:ind/>
              <w:jc w:val="center"/>
            </w:pPr>
            <w:r>
              <w:rPr>
                <w:sz w:val="24"/>
                <w:u w:color="auto"/>
              </w:rPr>
              <w:t>氯苯生产装置</w:t>
            </w:r>
            <w:r>
              <w:rPr>
                <w:u/>
              </w:rPr>
            </w:r>
          </w:p>
        </w:tc>
        <w:tc>
          <w:tcPr>
            <w:tcW w:w="1012" w:type="dxa"/>
            <w:vMerge w:val="continue"/>
            <w:vAlign w:val="center"/>
          </w:tcPr>
          <w:p>
            <w:pPr>
              <w:pBdr/>
              <w:ind/>
              <w:jc w:val="center"/>
            </w:pPr>
            <w:r>
              <w:rPr>
                <w:sz w:val="24"/>
                <w:u w:color="auto"/>
              </w:rPr>
              <w:t>PU005</w:t>
            </w:r>
            <w:r>
              <w:rPr>
                <w:u/>
              </w:rPr>
            </w:r>
          </w:p>
        </w:tc>
        <w:tc>
          <w:tcPr>
            <w:tcW w:w="1012" w:type="dxa"/>
            <w:vMerge w:val="continue"/>
            <w:vAlign w:val="center"/>
          </w:tcPr>
          <w:p>
            <w:pPr>
              <w:pBdr/>
              <w:ind/>
              <w:jc w:val="center"/>
            </w:pPr>
            <w:r>
              <w:rPr>
                <w:sz w:val="24"/>
                <w:u w:color="auto"/>
              </w:rPr>
              <w:t>氯化苯生产装置</w:t>
            </w:r>
            <w:r>
              <w:rPr>
                <w:u/>
              </w:rPr>
            </w:r>
          </w:p>
        </w:tc>
        <w:tc>
          <w:tcPr>
            <w:tcW w:w="1012" w:type="dxa"/>
            <w:vMerge w:val="continue"/>
            <w:vAlign w:val="center"/>
          </w:tcPr>
          <w:p>
            <w:pPr>
              <w:pBdr/>
              <w:ind/>
              <w:jc w:val="center"/>
            </w:pPr>
            <w:r>
              <w:rPr>
                <w:sz w:val="24"/>
                <w:u w:color="auto"/>
              </w:rPr>
              <w:t>氯化反应</w:t>
            </w:r>
            <w:r>
              <w:rPr>
                <w:u/>
              </w:rPr>
            </w:r>
          </w:p>
        </w:tc>
        <w:tc>
          <w:tcPr>
            <w:tcW w:w="1012" w:type="dxa"/>
            <w:vMerge w:val="continue"/>
            <w:vAlign w:val="center"/>
          </w:tcPr>
          <w:p>
            <w:pPr>
              <w:pBdr/>
              <w:ind/>
              <w:jc w:val="center"/>
            </w:pPr>
            <w:r>
              <w:rPr>
                <w:sz w:val="24"/>
                <w:u w:color="auto"/>
              </w:rPr>
              <w:t>100000</w:t>
            </w:r>
            <w:r>
              <w:rPr>
                <w:u/>
              </w:rPr>
            </w:r>
          </w:p>
        </w:tc>
        <w:tc>
          <w:tcPr>
            <w:tcW w:w="1012" w:type="dxa"/>
            <w:vMerge w:val="continue"/>
            <w:vAlign w:val="center"/>
          </w:tcPr>
          <w:p>
            <w:pPr>
              <w:pBdr/>
              <w:ind/>
              <w:jc w:val="center"/>
            </w:pPr>
            <w:r>
              <w:rPr>
                <w:sz w:val="24"/>
                <w:u w:color="auto"/>
              </w:rPr>
              <w:t>吨</w:t>
            </w:r>
            <w:r>
              <w:rPr>
                <w:u/>
              </w:rPr>
            </w:r>
          </w:p>
        </w:tc>
        <w:tc>
          <w:tcPr>
            <w:tcW w:w="1012" w:type="dxa"/>
            <w:vMerge w:val="continue"/>
            <w:vAlign w:val="center"/>
          </w:tcPr>
          <w:p>
            <w:pPr>
              <w:pBdr/>
              <w:ind/>
              <w:jc w:val="center"/>
            </w:pPr>
            <w:r>
              <w:rPr>
                <w:sz w:val="24"/>
                <w:u w:color="auto"/>
              </w:rPr>
              <w:t>最终产品</w:t>
            </w:r>
            <w:r>
              <w:rPr>
                <w:u/>
              </w:rPr>
            </w:r>
          </w:p>
        </w:tc>
        <w:tc>
          <w:tcPr>
            <w:tcW w:w="1012" w:type="dxa"/>
            <w:vMerge w:val="continue"/>
            <w:vAlign w:val="center"/>
          </w:tcPr>
          <w:p>
            <w:pPr>
              <w:pBdr/>
              <w:ind/>
              <w:jc w:val="center"/>
            </w:pPr>
            <w:r>
              <w:rPr>
                <w:sz w:val="24"/>
                <w:u w:color="auto"/>
              </w:rPr>
              <w:t>氯化苯</w:t>
            </w:r>
            <w:r>
              <w:rPr>
                <w:u/>
              </w:rPr>
            </w:r>
          </w:p>
        </w:tc>
        <w:tc>
          <w:tcPr>
            <w:tcW w:w="1012" w:type="dxa"/>
            <w:vMerge w:val="continue"/>
            <w:vAlign w:val="center"/>
          </w:tcPr>
          <w:p>
            <w:pPr>
              <w:pBdr/>
              <w:ind/>
              <w:jc w:val="center"/>
            </w:pPr>
            <w:r>
              <w:rPr>
                <w:sz w:val="24"/>
                <w:u w:color="auto"/>
              </w:rPr>
              <w:t>100000</w:t>
            </w:r>
            <w:r>
              <w:rPr>
                <w:u/>
              </w:rPr>
            </w:r>
          </w:p>
        </w:tc>
        <w:tc>
          <w:tcPr>
            <w:tcW w:w="1012" w:type="dxa"/>
            <w:vMerge w:val="continue"/>
            <w:vAlign w:val="center"/>
          </w:tcPr>
          <w:p>
            <w:pPr>
              <w:pBdr/>
              <w:ind/>
              <w:jc w:val="center"/>
            </w:pPr>
            <w:r>
              <w:rPr>
                <w:sz w:val="24"/>
                <w:u w:color="auto"/>
              </w:rPr>
              <w:t>吨</w:t>
            </w:r>
            <w:r>
              <w:rPr>
                <w:u/>
              </w:rPr>
            </w:r>
          </w:p>
        </w:tc>
        <w:tc>
          <w:tcPr>
            <w:tcW w:w="1012" w:type="dxa"/>
            <w:vAlign w:val="center"/>
          </w:tcPr>
          <w:p>
            <w:pPr>
              <w:pBdr/>
              <w:ind/>
              <w:jc w:val="center"/>
            </w:pPr>
            <w:r>
              <w:rPr>
                <w:sz w:val="24"/>
                <w:u w:color="auto"/>
              </w:rPr>
              <w:t>辅料</w:t>
            </w:r>
            <w:r>
              <w:rPr>
                <w:u/>
              </w:rPr>
            </w:r>
          </w:p>
        </w:tc>
        <w:tc>
          <w:tcPr>
            <w:tcW w:w="1012" w:type="dxa"/>
            <w:vAlign w:val="center"/>
          </w:tcPr>
          <w:p>
            <w:pPr>
              <w:pBdr/>
              <w:ind/>
              <w:jc w:val="center"/>
            </w:pPr>
            <w:r>
              <w:rPr>
                <w:sz w:val="24"/>
                <w:u w:color="auto"/>
              </w:rPr>
              <w:t>氢氧化钠</w:t>
            </w:r>
            <w:r>
              <w:rPr>
                <w:u/>
              </w:rPr>
            </w:r>
          </w:p>
        </w:tc>
        <w:tc>
          <w:tcPr>
            <w:tcW w:w="1012" w:type="dxa"/>
            <w:vAlign w:val="center"/>
          </w:tcPr>
          <w:p>
            <w:pPr>
              <w:pBdr/>
              <w:ind/>
              <w:jc w:val="center"/>
            </w:pPr>
            <w:r>
              <w:rPr>
                <w:sz w:val="24"/>
                <w:u w:color="auto"/>
              </w:rPr>
              <w:t>649.6</w:t>
            </w:r>
            <w:r>
              <w:rPr>
                <w:u/>
              </w:rPr>
            </w:r>
          </w:p>
        </w:tc>
        <w:tc>
          <w:tcPr>
            <w:tcW w:w="1012" w:type="dxa"/>
            <w:vAlign w:val="center"/>
          </w:tcPr>
          <w:p>
            <w:pPr>
              <w:pBdr/>
              <w:ind/>
              <w:jc w:val="center"/>
            </w:pPr>
            <w:r>
              <w:rPr>
                <w:sz w:val="24"/>
                <w:u w:color="auto"/>
              </w:rPr>
              <w:t>吨</w:t>
            </w:r>
            <w:r>
              <w:rPr>
                <w:u/>
              </w:rPr>
            </w:r>
          </w:p>
        </w:tc>
      </w:tr>
      <w:tr>
        <w:trPr>
          <w:trHeight w:val="850" w:hRule="atLeast"/>
        </w:trPr>
        <w:tc>
          <w:tcPr>
            <w:tcW w:w="1012" w:type="dxa"/>
            <w:vMerge w:val="restart"/>
            <w:vAlign w:val="center"/>
          </w:tcPr>
          <w:p>
            <w:pPr>
              <w:pBdr/>
              <w:ind/>
              <w:jc w:val="center"/>
            </w:pPr>
            <w:r>
              <w:rPr>
                <w:sz w:val="24"/>
                <w:u w:color="auto"/>
              </w:rPr>
              <w:t>硝基氯苯生产装置</w:t>
            </w:r>
            <w:r>
              <w:rPr>
                <w:u/>
              </w:rPr>
            </w:r>
          </w:p>
        </w:tc>
        <w:tc>
          <w:tcPr>
            <w:tcW w:w="1012" w:type="dxa"/>
            <w:vMerge w:val="restart"/>
            <w:vAlign w:val="center"/>
          </w:tcPr>
          <w:p>
            <w:pPr>
              <w:pBdr/>
              <w:ind/>
              <w:jc w:val="center"/>
            </w:pPr>
            <w:r>
              <w:rPr>
                <w:sz w:val="24"/>
                <w:u w:color="auto"/>
              </w:rPr>
              <w:t>PU007</w:t>
            </w:r>
            <w:r>
              <w:rPr>
                <w:u/>
              </w:rPr>
            </w:r>
          </w:p>
        </w:tc>
        <w:tc>
          <w:tcPr>
            <w:tcW w:w="1012" w:type="dxa"/>
            <w:vMerge w:val="restart"/>
            <w:vAlign w:val="center"/>
          </w:tcPr>
          <w:p>
            <w:pPr>
              <w:pBdr/>
              <w:ind/>
              <w:jc w:val="center"/>
            </w:pPr>
            <w:r>
              <w:rPr>
                <w:sz w:val="24"/>
                <w:u w:color="auto"/>
              </w:rPr>
              <w:t>硝化、精馏、结晶</w:t>
            </w:r>
            <w:r>
              <w:rPr>
                <w:u/>
              </w:rPr>
            </w:r>
          </w:p>
        </w:tc>
        <w:tc>
          <w:tcPr>
            <w:tcW w:w="1012" w:type="dxa"/>
            <w:vMerge w:val="restart"/>
            <w:vAlign w:val="center"/>
          </w:tcPr>
          <w:p>
            <w:pPr>
              <w:pBdr/>
              <w:ind/>
              <w:jc w:val="center"/>
            </w:pPr>
            <w:r>
              <w:rPr>
                <w:sz w:val="24"/>
                <w:u w:color="auto"/>
              </w:rPr>
              <w:t>硝化反应</w:t>
            </w:r>
            <w:r>
              <w:rPr>
                <w:u/>
              </w:rPr>
            </w:r>
          </w:p>
        </w:tc>
        <w:tc>
          <w:tcPr>
            <w:tcW w:w="1012" w:type="dxa"/>
            <w:vMerge w:val="restart"/>
            <w:vAlign w:val="center"/>
          </w:tcPr>
          <w:p>
            <w:pPr>
              <w:pBdr/>
              <w:ind/>
              <w:jc w:val="center"/>
            </w:pPr>
            <w:r>
              <w:rPr>
                <w:sz w:val="24"/>
                <w:u w:color="auto"/>
              </w:rPr>
              <w:t>60000</w:t>
            </w:r>
            <w:r>
              <w:rPr>
                <w:u/>
              </w:rPr>
            </w:r>
          </w:p>
        </w:tc>
        <w:tc>
          <w:tcPr>
            <w:tcW w:w="1012" w:type="dxa"/>
            <w:vMerge w:val="restart"/>
            <w:vAlign w:val="center"/>
          </w:tcPr>
          <w:p>
            <w:pPr>
              <w:pBdr/>
              <w:ind/>
              <w:jc w:val="center"/>
            </w:pPr>
            <w:r>
              <w:rPr>
                <w:sz w:val="24"/>
                <w:u w:color="auto"/>
              </w:rPr>
              <w:t>吨</w:t>
            </w:r>
            <w:r>
              <w:rPr>
                <w:u/>
              </w:rPr>
            </w:r>
          </w:p>
        </w:tc>
        <w:tc>
          <w:tcPr>
            <w:tcW w:w="1012" w:type="dxa"/>
            <w:vMerge w:val="restart"/>
            <w:vAlign w:val="center"/>
          </w:tcPr>
          <w:p>
            <w:pPr>
              <w:pBdr/>
              <w:ind/>
              <w:jc w:val="center"/>
            </w:pPr>
            <w:r>
              <w:rPr>
                <w:sz w:val="24"/>
                <w:u w:color="auto"/>
              </w:rPr>
              <w:t>最终产品</w:t>
            </w:r>
            <w:r>
              <w:rPr>
                <w:u/>
              </w:rPr>
            </w:r>
          </w:p>
        </w:tc>
        <w:tc>
          <w:tcPr>
            <w:tcW w:w="1012" w:type="dxa"/>
            <w:vMerge w:val="restart"/>
            <w:vAlign w:val="center"/>
          </w:tcPr>
          <w:p>
            <w:pPr>
              <w:pBdr/>
              <w:ind/>
              <w:jc w:val="center"/>
            </w:pPr>
            <w:r>
              <w:rPr>
                <w:sz w:val="24"/>
                <w:u w:color="auto"/>
              </w:rPr>
              <w:t>邻/对硝基氯化苯</w:t>
            </w:r>
            <w:r>
              <w:rPr>
                <w:u/>
              </w:rPr>
            </w:r>
          </w:p>
        </w:tc>
        <w:tc>
          <w:tcPr>
            <w:tcW w:w="1012" w:type="dxa"/>
            <w:vMerge w:val="restart"/>
            <w:vAlign w:val="center"/>
          </w:tcPr>
          <w:p>
            <w:pPr>
              <w:pBdr/>
              <w:ind/>
              <w:jc w:val="center"/>
            </w:pPr>
            <w:r>
              <w:rPr>
                <w:sz w:val="24"/>
                <w:u w:color="auto"/>
              </w:rPr>
              <w:t>54650.82</w:t>
            </w:r>
            <w:r>
              <w:rPr>
                <w:u/>
              </w:rPr>
            </w:r>
          </w:p>
        </w:tc>
        <w:tc>
          <w:tcPr>
            <w:tcW w:w="1012" w:type="dxa"/>
            <w:vMerge w:val="restart"/>
            <w:vAlign w:val="center"/>
          </w:tcPr>
          <w:p>
            <w:pPr>
              <w:pBdr/>
              <w:ind/>
              <w:jc w:val="center"/>
            </w:pPr>
            <w:r>
              <w:rPr>
                <w:sz w:val="24"/>
                <w:u w:color="auto"/>
              </w:rPr>
              <w:t>吨</w:t>
            </w:r>
            <w:r>
              <w:rPr>
                <w:u/>
              </w:rPr>
            </w:r>
          </w:p>
        </w:tc>
        <w:tc>
          <w:tcPr>
            <w:tcW w:w="1012" w:type="dxa"/>
            <w:vAlign w:val="center"/>
          </w:tcPr>
          <w:p>
            <w:pPr>
              <w:pBdr/>
              <w:ind/>
              <w:jc w:val="center"/>
            </w:pPr>
            <w:r>
              <w:rPr>
                <w:sz w:val="24"/>
                <w:u w:color="auto"/>
              </w:rPr>
              <w:t>辅料</w:t>
            </w:r>
            <w:r>
              <w:rPr>
                <w:u/>
              </w:rPr>
            </w:r>
          </w:p>
        </w:tc>
        <w:tc>
          <w:tcPr>
            <w:tcW w:w="1012" w:type="dxa"/>
            <w:vAlign w:val="center"/>
          </w:tcPr>
          <w:p>
            <w:pPr>
              <w:pBdr/>
              <w:ind/>
              <w:jc w:val="center"/>
            </w:pPr>
            <w:r>
              <w:rPr>
                <w:sz w:val="24"/>
                <w:u w:color="auto"/>
              </w:rPr>
              <w:t>硝酸</w:t>
            </w:r>
            <w:r>
              <w:rPr>
                <w:u/>
              </w:rPr>
            </w:r>
          </w:p>
        </w:tc>
        <w:tc>
          <w:tcPr>
            <w:tcW w:w="1012" w:type="dxa"/>
            <w:vAlign w:val="center"/>
          </w:tcPr>
          <w:p>
            <w:pPr>
              <w:pBdr/>
              <w:ind/>
              <w:jc w:val="center"/>
            </w:pPr>
            <w:r>
              <w:rPr>
                <w:sz w:val="24"/>
                <w:u w:color="auto"/>
              </w:rPr>
              <w:t>25496</w:t>
            </w:r>
            <w:r>
              <w:rPr>
                <w:u/>
              </w:rPr>
            </w:r>
          </w:p>
        </w:tc>
        <w:tc>
          <w:tcPr>
            <w:tcW w:w="1012" w:type="dxa"/>
            <w:vAlign w:val="center"/>
          </w:tcPr>
          <w:p>
            <w:pPr>
              <w:pBdr/>
              <w:ind/>
              <w:jc w:val="center"/>
            </w:pPr>
            <w:r>
              <w:rPr>
                <w:sz w:val="24"/>
                <w:u w:color="auto"/>
              </w:rPr>
              <w:t>吨</w:t>
            </w:r>
            <w:r>
              <w:rPr>
                <w:u/>
              </w:rPr>
            </w:r>
          </w:p>
        </w:tc>
      </w:tr>
      <w:tr>
        <w:trPr>
          <w:trHeight w:val="850" w:hRule="atLeast"/>
        </w:trPr>
        <w:tc>
          <w:tcPr>
            <w:tcW w:w="1012" w:type="dxa"/>
            <w:vMerge w:val="continue"/>
            <w:vAlign w:val="center"/>
          </w:tcPr>
          <w:p>
            <w:pPr>
              <w:pBdr/>
              <w:ind/>
              <w:jc w:val="center"/>
            </w:pPr>
            <w:r>
              <w:rPr>
                <w:sz w:val="24"/>
                <w:u w:color="auto"/>
              </w:rPr>
              <w:t>硝基氯苯生产装置</w:t>
            </w:r>
            <w:r>
              <w:rPr>
                <w:u/>
              </w:rPr>
            </w:r>
          </w:p>
        </w:tc>
        <w:tc>
          <w:tcPr>
            <w:tcW w:w="1012" w:type="dxa"/>
            <w:vMerge w:val="continue"/>
            <w:vAlign w:val="center"/>
          </w:tcPr>
          <w:p>
            <w:pPr>
              <w:pBdr/>
              <w:ind/>
              <w:jc w:val="center"/>
            </w:pPr>
            <w:r>
              <w:rPr>
                <w:sz w:val="24"/>
                <w:u w:color="auto"/>
              </w:rPr>
              <w:t>PU007</w:t>
            </w:r>
            <w:r>
              <w:rPr>
                <w:u/>
              </w:rPr>
            </w:r>
          </w:p>
        </w:tc>
        <w:tc>
          <w:tcPr>
            <w:tcW w:w="1012" w:type="dxa"/>
            <w:vMerge w:val="continue"/>
            <w:vAlign w:val="center"/>
          </w:tcPr>
          <w:p>
            <w:pPr>
              <w:pBdr/>
              <w:ind/>
              <w:jc w:val="center"/>
            </w:pPr>
            <w:r>
              <w:rPr>
                <w:sz w:val="24"/>
                <w:u w:color="auto"/>
              </w:rPr>
              <w:t>硝化、精馏、结晶</w:t>
            </w:r>
            <w:r>
              <w:rPr>
                <w:u/>
              </w:rPr>
            </w:r>
          </w:p>
        </w:tc>
        <w:tc>
          <w:tcPr>
            <w:tcW w:w="1012" w:type="dxa"/>
            <w:vMerge w:val="continue"/>
            <w:vAlign w:val="center"/>
          </w:tcPr>
          <w:p>
            <w:pPr>
              <w:pBdr/>
              <w:ind/>
              <w:jc w:val="center"/>
            </w:pPr>
            <w:r>
              <w:rPr>
                <w:sz w:val="24"/>
                <w:u w:color="auto"/>
              </w:rPr>
              <w:t>硝化反应</w:t>
            </w:r>
            <w:r>
              <w:rPr>
                <w:u/>
              </w:rPr>
            </w:r>
          </w:p>
        </w:tc>
        <w:tc>
          <w:tcPr>
            <w:tcW w:w="1012" w:type="dxa"/>
            <w:vMerge w:val="continue"/>
            <w:vAlign w:val="center"/>
          </w:tcPr>
          <w:p>
            <w:pPr>
              <w:pBdr/>
              <w:ind/>
              <w:jc w:val="center"/>
            </w:pPr>
            <w:r>
              <w:rPr>
                <w:sz w:val="24"/>
                <w:u w:color="auto"/>
              </w:rPr>
              <w:t>60000</w:t>
            </w:r>
            <w:r>
              <w:rPr>
                <w:u/>
              </w:rPr>
            </w:r>
          </w:p>
        </w:tc>
        <w:tc>
          <w:tcPr>
            <w:tcW w:w="1012" w:type="dxa"/>
            <w:vMerge w:val="continue"/>
            <w:vAlign w:val="center"/>
          </w:tcPr>
          <w:p>
            <w:pPr>
              <w:pBdr/>
              <w:ind/>
              <w:jc w:val="center"/>
            </w:pPr>
            <w:r>
              <w:rPr>
                <w:sz w:val="24"/>
                <w:u w:color="auto"/>
              </w:rPr>
              <w:t>吨</w:t>
            </w:r>
            <w:r>
              <w:rPr>
                <w:u/>
              </w:rPr>
            </w:r>
          </w:p>
        </w:tc>
        <w:tc>
          <w:tcPr>
            <w:tcW w:w="1012" w:type="dxa"/>
            <w:vMerge w:val="continue"/>
            <w:vAlign w:val="center"/>
          </w:tcPr>
          <w:p>
            <w:pPr>
              <w:pBdr/>
              <w:ind/>
              <w:jc w:val="center"/>
            </w:pPr>
            <w:r>
              <w:rPr>
                <w:sz w:val="24"/>
                <w:u w:color="auto"/>
              </w:rPr>
              <w:t>最终产品</w:t>
            </w:r>
            <w:r>
              <w:rPr>
                <w:u/>
              </w:rPr>
            </w:r>
          </w:p>
        </w:tc>
        <w:tc>
          <w:tcPr>
            <w:tcW w:w="1012" w:type="dxa"/>
            <w:vMerge w:val="continue"/>
            <w:vAlign w:val="center"/>
          </w:tcPr>
          <w:p>
            <w:pPr>
              <w:pBdr/>
              <w:ind/>
              <w:jc w:val="center"/>
            </w:pPr>
            <w:r>
              <w:rPr>
                <w:sz w:val="24"/>
                <w:u w:color="auto"/>
              </w:rPr>
              <w:t>邻/对硝基氯化苯</w:t>
            </w:r>
            <w:r>
              <w:rPr>
                <w:u/>
              </w:rPr>
            </w:r>
          </w:p>
        </w:tc>
        <w:tc>
          <w:tcPr>
            <w:tcW w:w="1012" w:type="dxa"/>
            <w:vMerge w:val="continue"/>
            <w:vAlign w:val="center"/>
          </w:tcPr>
          <w:p>
            <w:pPr>
              <w:pBdr/>
              <w:ind/>
              <w:jc w:val="center"/>
            </w:pPr>
            <w:r>
              <w:rPr>
                <w:sz w:val="24"/>
                <w:u w:color="auto"/>
              </w:rPr>
              <w:t>54650.82</w:t>
            </w:r>
            <w:r>
              <w:rPr>
                <w:u/>
              </w:rPr>
            </w:r>
          </w:p>
        </w:tc>
        <w:tc>
          <w:tcPr>
            <w:tcW w:w="1012" w:type="dxa"/>
            <w:vMerge w:val="continue"/>
            <w:vAlign w:val="center"/>
          </w:tcPr>
          <w:p>
            <w:pPr>
              <w:pBdr/>
              <w:ind/>
              <w:jc w:val="center"/>
            </w:pPr>
            <w:r>
              <w:rPr>
                <w:sz w:val="24"/>
                <w:u w:color="auto"/>
              </w:rPr>
              <w:t>吨</w:t>
            </w:r>
            <w:r>
              <w:rPr>
                <w:u/>
              </w:rPr>
            </w:r>
          </w:p>
        </w:tc>
        <w:tc>
          <w:tcPr>
            <w:tcW w:w="1012" w:type="dxa"/>
            <w:vAlign w:val="center"/>
          </w:tcPr>
          <w:p>
            <w:pPr>
              <w:pBdr/>
              <w:ind/>
              <w:jc w:val="center"/>
            </w:pPr>
            <w:r>
              <w:rPr>
                <w:sz w:val="24"/>
                <w:u w:color="auto"/>
              </w:rPr>
              <w:t>原料</w:t>
            </w:r>
            <w:r>
              <w:rPr>
                <w:u/>
              </w:rPr>
            </w:r>
          </w:p>
        </w:tc>
        <w:tc>
          <w:tcPr>
            <w:tcW w:w="1012" w:type="dxa"/>
            <w:vAlign w:val="center"/>
          </w:tcPr>
          <w:p>
            <w:pPr>
              <w:pBdr/>
              <w:ind/>
              <w:jc w:val="center"/>
            </w:pPr>
            <w:r>
              <w:rPr>
                <w:sz w:val="24"/>
                <w:u w:color="auto"/>
              </w:rPr>
              <w:t>氯化苯</w:t>
            </w:r>
            <w:r>
              <w:rPr>
                <w:u/>
              </w:rPr>
            </w:r>
          </w:p>
        </w:tc>
        <w:tc>
          <w:tcPr>
            <w:tcW w:w="1012" w:type="dxa"/>
            <w:vAlign w:val="center"/>
          </w:tcPr>
          <w:p>
            <w:pPr>
              <w:pBdr/>
              <w:ind/>
              <w:jc w:val="center"/>
            </w:pPr>
            <w:r>
              <w:rPr>
                <w:sz w:val="24"/>
                <w:u w:color="auto"/>
              </w:rPr>
              <w:t>43852</w:t>
            </w:r>
            <w:r>
              <w:rPr>
                <w:u/>
              </w:rPr>
            </w:r>
          </w:p>
        </w:tc>
        <w:tc>
          <w:tcPr>
            <w:tcW w:w="1012" w:type="dxa"/>
            <w:vAlign w:val="center"/>
          </w:tcPr>
          <w:p>
            <w:pPr>
              <w:pBdr/>
              <w:ind/>
              <w:jc w:val="center"/>
            </w:pPr>
            <w:r>
              <w:rPr>
                <w:sz w:val="24"/>
                <w:u w:color="auto"/>
              </w:rPr>
              <w:t>吨</w:t>
            </w:r>
            <w:r>
              <w:rPr>
                <w:u/>
              </w:rPr>
            </w:r>
          </w:p>
        </w:tc>
      </w:tr>
      <w:tr>
        <w:trPr>
          <w:trHeight w:val="850" w:hRule="atLeast"/>
        </w:trPr>
        <w:tc>
          <w:tcPr>
            <w:tcW w:w="1012" w:type="dxa"/>
            <w:vMerge w:val="restart"/>
            <w:vAlign w:val="center"/>
          </w:tcPr>
          <w:p>
            <w:pPr>
              <w:pBdr/>
              <w:ind/>
              <w:jc w:val="center"/>
            </w:pPr>
            <w:r>
              <w:rPr>
                <w:sz w:val="24"/>
                <w:u w:color="auto"/>
              </w:rPr>
              <w:t>邻氨（硝）基苯酚生产装置</w:t>
            </w:r>
            <w:r>
              <w:rPr>
                <w:u/>
              </w:rPr>
            </w:r>
          </w:p>
        </w:tc>
        <w:tc>
          <w:tcPr>
            <w:tcW w:w="1012" w:type="dxa"/>
            <w:vMerge w:val="restart"/>
            <w:vAlign w:val="center"/>
          </w:tcPr>
          <w:p>
            <w:pPr>
              <w:pBdr/>
              <w:ind/>
              <w:jc w:val="center"/>
            </w:pPr>
            <w:r>
              <w:rPr>
                <w:sz w:val="24"/>
                <w:u w:color="auto"/>
              </w:rPr>
              <w:t>PU008</w:t>
            </w:r>
            <w:r>
              <w:rPr>
                <w:u/>
              </w:rPr>
            </w:r>
          </w:p>
        </w:tc>
        <w:tc>
          <w:tcPr>
            <w:tcW w:w="1012" w:type="dxa"/>
            <w:vMerge w:val="restart"/>
            <w:vAlign w:val="center"/>
          </w:tcPr>
          <w:p>
            <w:pPr>
              <w:pBdr/>
              <w:ind/>
              <w:jc w:val="center"/>
            </w:pPr>
            <w:r>
              <w:rPr>
                <w:sz w:val="24"/>
                <w:u w:color="auto"/>
              </w:rPr>
              <w:t>水解、蒸馏、加氢、结晶</w:t>
            </w:r>
            <w:r>
              <w:rPr>
                <w:u/>
              </w:rPr>
            </w:r>
          </w:p>
        </w:tc>
        <w:tc>
          <w:tcPr>
            <w:tcW w:w="1012" w:type="dxa"/>
            <w:vMerge w:val="restart"/>
            <w:vAlign w:val="center"/>
          </w:tcPr>
          <w:p>
            <w:pPr>
              <w:pBdr/>
              <w:ind/>
              <w:jc w:val="center"/>
            </w:pPr>
            <w:r>
              <w:rPr>
                <w:sz w:val="24"/>
                <w:u w:color="auto"/>
              </w:rPr>
              <w:t>加氢反应</w:t>
            </w:r>
            <w:r>
              <w:rPr>
                <w:u/>
              </w:rPr>
            </w:r>
          </w:p>
        </w:tc>
        <w:tc>
          <w:tcPr>
            <w:tcW w:w="1012" w:type="dxa"/>
            <w:vMerge w:val="restart"/>
            <w:vAlign w:val="center"/>
          </w:tcPr>
          <w:p>
            <w:pPr>
              <w:pBdr/>
              <w:ind/>
              <w:jc w:val="center"/>
            </w:pPr>
            <w:r>
              <w:rPr>
                <w:sz w:val="24"/>
                <w:u w:color="auto"/>
              </w:rPr>
              <w:t>6000</w:t>
            </w:r>
            <w:r>
              <w:rPr>
                <w:u/>
              </w:rPr>
            </w:r>
          </w:p>
        </w:tc>
        <w:tc>
          <w:tcPr>
            <w:tcW w:w="1012" w:type="dxa"/>
            <w:vMerge w:val="restart"/>
            <w:vAlign w:val="center"/>
          </w:tcPr>
          <w:p>
            <w:pPr>
              <w:pBdr/>
              <w:ind/>
              <w:jc w:val="center"/>
            </w:pPr>
            <w:r>
              <w:rPr>
                <w:sz w:val="24"/>
                <w:u w:color="auto"/>
              </w:rPr>
              <w:t>吨</w:t>
            </w:r>
            <w:r>
              <w:rPr>
                <w:u/>
              </w:rPr>
            </w:r>
          </w:p>
        </w:tc>
        <w:tc>
          <w:tcPr>
            <w:tcW w:w="1012" w:type="dxa"/>
            <w:vMerge w:val="restart"/>
            <w:vAlign w:val="center"/>
          </w:tcPr>
          <w:p>
            <w:pPr>
              <w:pBdr/>
              <w:ind/>
              <w:jc w:val="center"/>
            </w:pPr>
            <w:r>
              <w:rPr>
                <w:sz w:val="24"/>
                <w:u w:color="auto"/>
              </w:rPr>
              <w:t>最终产品</w:t>
            </w:r>
            <w:r>
              <w:rPr>
                <w:u/>
              </w:rPr>
            </w:r>
          </w:p>
        </w:tc>
        <w:tc>
          <w:tcPr>
            <w:tcW w:w="1012" w:type="dxa"/>
            <w:vMerge w:val="restart"/>
            <w:vAlign w:val="center"/>
          </w:tcPr>
          <w:p>
            <w:pPr>
              <w:pBdr/>
              <w:ind/>
              <w:jc w:val="center"/>
            </w:pPr>
            <w:r>
              <w:rPr>
                <w:sz w:val="24"/>
                <w:u w:color="auto"/>
              </w:rPr>
              <w:t>邻氨基苯酚</w:t>
            </w:r>
            <w:r>
              <w:rPr>
                <w:u/>
              </w:rPr>
            </w:r>
          </w:p>
        </w:tc>
        <w:tc>
          <w:tcPr>
            <w:tcW w:w="1012" w:type="dxa"/>
            <w:vMerge w:val="restart"/>
            <w:vAlign w:val="center"/>
          </w:tcPr>
          <w:p>
            <w:pPr>
              <w:pBdr/>
              <w:ind/>
              <w:jc w:val="center"/>
            </w:pPr>
            <w:r>
              <w:rPr>
                <w:sz w:val="24"/>
                <w:u w:color="auto"/>
              </w:rPr>
              <w:t>6000</w:t>
            </w:r>
            <w:r>
              <w:rPr>
                <w:u/>
              </w:rPr>
            </w:r>
          </w:p>
        </w:tc>
        <w:tc>
          <w:tcPr>
            <w:tcW w:w="1012" w:type="dxa"/>
            <w:vMerge w:val="restart"/>
            <w:vAlign w:val="center"/>
          </w:tcPr>
          <w:p>
            <w:pPr>
              <w:pBdr/>
              <w:ind/>
              <w:jc w:val="center"/>
            </w:pPr>
            <w:r>
              <w:rPr>
                <w:sz w:val="24"/>
                <w:u w:color="auto"/>
              </w:rPr>
              <w:t>吨</w:t>
            </w:r>
            <w:r>
              <w:rPr>
                <w:u/>
              </w:rPr>
            </w:r>
          </w:p>
        </w:tc>
        <w:tc>
          <w:tcPr>
            <w:tcW w:w="1012" w:type="dxa"/>
            <w:vAlign w:val="center"/>
          </w:tcPr>
          <w:p>
            <w:pPr>
              <w:pBdr/>
              <w:ind/>
              <w:jc w:val="center"/>
            </w:pPr>
            <w:r>
              <w:rPr>
                <w:sz w:val="24"/>
                <w:u w:color="auto"/>
              </w:rPr>
              <w:t>原料</w:t>
            </w:r>
            <w:r>
              <w:rPr>
                <w:u/>
              </w:rPr>
            </w:r>
          </w:p>
        </w:tc>
        <w:tc>
          <w:tcPr>
            <w:tcW w:w="1012" w:type="dxa"/>
            <w:vAlign w:val="center"/>
          </w:tcPr>
          <w:p>
            <w:pPr>
              <w:pBdr/>
              <w:ind/>
              <w:jc w:val="center"/>
            </w:pPr>
            <w:r>
              <w:rPr>
                <w:sz w:val="24"/>
                <w:u w:color="auto"/>
              </w:rPr>
              <w:t>邻硝基氯化苯</w:t>
            </w:r>
            <w:r>
              <w:rPr>
                <w:u/>
              </w:rPr>
            </w:r>
          </w:p>
        </w:tc>
        <w:tc>
          <w:tcPr>
            <w:tcW w:w="1012" w:type="dxa"/>
            <w:vAlign w:val="center"/>
          </w:tcPr>
          <w:p>
            <w:pPr>
              <w:pBdr/>
              <w:ind/>
              <w:jc w:val="center"/>
            </w:pPr>
            <w:r>
              <w:rPr>
                <w:sz w:val="24"/>
                <w:u w:color="auto"/>
              </w:rPr>
              <w:t>10898.46</w:t>
            </w:r>
            <w:r>
              <w:rPr>
                <w:u/>
              </w:rPr>
            </w:r>
          </w:p>
        </w:tc>
        <w:tc>
          <w:tcPr>
            <w:tcW w:w="1012" w:type="dxa"/>
            <w:vAlign w:val="center"/>
          </w:tcPr>
          <w:p>
            <w:pPr>
              <w:pBdr/>
              <w:ind/>
              <w:jc w:val="center"/>
            </w:pPr>
            <w:r>
              <w:rPr>
                <w:sz w:val="24"/>
                <w:u w:color="auto"/>
              </w:rPr>
              <w:t>吨</w:t>
            </w:r>
            <w:r>
              <w:rPr>
                <w:u/>
              </w:rPr>
            </w:r>
          </w:p>
        </w:tc>
      </w:tr>
      <w:tr>
        <w:trPr>
          <w:trHeight w:val="850" w:hRule="atLeast"/>
        </w:trPr>
        <w:tc>
          <w:tcPr>
            <w:tcW w:w="1012" w:type="dxa"/>
            <w:vMerge w:val="continue"/>
            <w:vAlign w:val="center"/>
          </w:tcPr>
          <w:p>
            <w:pPr>
              <w:pBdr/>
              <w:ind/>
              <w:jc w:val="center"/>
            </w:pPr>
            <w:r>
              <w:rPr>
                <w:sz w:val="24"/>
                <w:u w:color="auto"/>
              </w:rPr>
              <w:t>邻氨（硝）基苯酚生产装置</w:t>
            </w:r>
            <w:r>
              <w:rPr>
                <w:u/>
              </w:rPr>
            </w:r>
          </w:p>
        </w:tc>
        <w:tc>
          <w:tcPr>
            <w:tcW w:w="1012" w:type="dxa"/>
            <w:vMerge w:val="continue"/>
            <w:vAlign w:val="center"/>
          </w:tcPr>
          <w:p>
            <w:pPr>
              <w:pBdr/>
              <w:ind/>
              <w:jc w:val="center"/>
            </w:pPr>
            <w:r>
              <w:rPr>
                <w:sz w:val="24"/>
                <w:u w:color="auto"/>
              </w:rPr>
              <w:t>PU008</w:t>
            </w:r>
            <w:r>
              <w:rPr>
                <w:u/>
              </w:rPr>
            </w:r>
          </w:p>
        </w:tc>
        <w:tc>
          <w:tcPr>
            <w:tcW w:w="1012" w:type="dxa"/>
            <w:vMerge w:val="continue"/>
            <w:vAlign w:val="center"/>
          </w:tcPr>
          <w:p>
            <w:pPr>
              <w:pBdr/>
              <w:ind/>
              <w:jc w:val="center"/>
            </w:pPr>
            <w:r>
              <w:rPr>
                <w:sz w:val="24"/>
                <w:u w:color="auto"/>
              </w:rPr>
              <w:t>水解、蒸馏、加氢、结晶</w:t>
            </w:r>
            <w:r>
              <w:rPr>
                <w:u/>
              </w:rPr>
            </w:r>
          </w:p>
        </w:tc>
        <w:tc>
          <w:tcPr>
            <w:tcW w:w="1012" w:type="dxa"/>
            <w:vMerge w:val="continue"/>
            <w:vAlign w:val="center"/>
          </w:tcPr>
          <w:p>
            <w:pPr>
              <w:pBdr/>
              <w:ind/>
              <w:jc w:val="center"/>
            </w:pPr>
            <w:r>
              <w:rPr>
                <w:sz w:val="24"/>
                <w:u w:color="auto"/>
              </w:rPr>
              <w:t>加氢反应</w:t>
            </w:r>
            <w:r>
              <w:rPr>
                <w:u/>
              </w:rPr>
            </w:r>
          </w:p>
        </w:tc>
        <w:tc>
          <w:tcPr>
            <w:tcW w:w="1012" w:type="dxa"/>
            <w:vMerge w:val="continue"/>
            <w:vAlign w:val="center"/>
          </w:tcPr>
          <w:p>
            <w:pPr>
              <w:pBdr/>
              <w:ind/>
              <w:jc w:val="center"/>
            </w:pPr>
            <w:r>
              <w:rPr>
                <w:sz w:val="24"/>
                <w:u w:color="auto"/>
              </w:rPr>
              <w:t>6000</w:t>
            </w:r>
            <w:r>
              <w:rPr>
                <w:u/>
              </w:rPr>
            </w:r>
          </w:p>
        </w:tc>
        <w:tc>
          <w:tcPr>
            <w:tcW w:w="1012" w:type="dxa"/>
            <w:vMerge w:val="continue"/>
            <w:vAlign w:val="center"/>
          </w:tcPr>
          <w:p>
            <w:pPr>
              <w:pBdr/>
              <w:ind/>
              <w:jc w:val="center"/>
            </w:pPr>
            <w:r>
              <w:rPr>
                <w:sz w:val="24"/>
                <w:u w:color="auto"/>
              </w:rPr>
              <w:t>吨</w:t>
            </w:r>
            <w:r>
              <w:rPr>
                <w:u/>
              </w:rPr>
            </w:r>
          </w:p>
        </w:tc>
        <w:tc>
          <w:tcPr>
            <w:tcW w:w="1012" w:type="dxa"/>
            <w:vMerge w:val="continue"/>
            <w:vAlign w:val="center"/>
          </w:tcPr>
          <w:p>
            <w:pPr>
              <w:pBdr/>
              <w:ind/>
              <w:jc w:val="center"/>
            </w:pPr>
            <w:r>
              <w:rPr>
                <w:sz w:val="24"/>
                <w:u w:color="auto"/>
              </w:rPr>
              <w:t>最终产品</w:t>
            </w:r>
            <w:r>
              <w:rPr>
                <w:u/>
              </w:rPr>
            </w:r>
          </w:p>
        </w:tc>
        <w:tc>
          <w:tcPr>
            <w:tcW w:w="1012" w:type="dxa"/>
            <w:vMerge w:val="continue"/>
            <w:vAlign w:val="center"/>
          </w:tcPr>
          <w:p>
            <w:pPr>
              <w:pBdr/>
              <w:ind/>
              <w:jc w:val="center"/>
            </w:pPr>
            <w:r>
              <w:rPr>
                <w:sz w:val="24"/>
                <w:u w:color="auto"/>
              </w:rPr>
              <w:t>邻氨基苯酚</w:t>
            </w:r>
            <w:r>
              <w:rPr>
                <w:u/>
              </w:rPr>
            </w:r>
          </w:p>
        </w:tc>
        <w:tc>
          <w:tcPr>
            <w:tcW w:w="1012" w:type="dxa"/>
            <w:vMerge w:val="continue"/>
            <w:vAlign w:val="center"/>
          </w:tcPr>
          <w:p>
            <w:pPr>
              <w:pBdr/>
              <w:ind/>
              <w:jc w:val="center"/>
            </w:pPr>
            <w:r>
              <w:rPr>
                <w:sz w:val="24"/>
                <w:u w:color="auto"/>
              </w:rPr>
              <w:t>6000</w:t>
            </w:r>
            <w:r>
              <w:rPr>
                <w:u/>
              </w:rPr>
            </w:r>
          </w:p>
        </w:tc>
        <w:tc>
          <w:tcPr>
            <w:tcW w:w="1012" w:type="dxa"/>
            <w:vMerge w:val="continue"/>
            <w:vAlign w:val="center"/>
          </w:tcPr>
          <w:p>
            <w:pPr>
              <w:pBdr/>
              <w:ind/>
              <w:jc w:val="center"/>
            </w:pPr>
            <w:r>
              <w:rPr>
                <w:sz w:val="24"/>
                <w:u w:color="auto"/>
              </w:rPr>
              <w:t>吨</w:t>
            </w:r>
            <w:r>
              <w:rPr>
                <w:u/>
              </w:rPr>
            </w:r>
          </w:p>
        </w:tc>
        <w:tc>
          <w:tcPr>
            <w:tcW w:w="1012" w:type="dxa"/>
            <w:vAlign w:val="center"/>
          </w:tcPr>
          <w:p>
            <w:pPr>
              <w:pBdr/>
              <w:ind/>
              <w:jc w:val="center"/>
            </w:pPr>
            <w:r>
              <w:rPr>
                <w:sz w:val="24"/>
                <w:u w:color="auto"/>
              </w:rPr>
              <w:t>辅料</w:t>
            </w:r>
            <w:r>
              <w:rPr>
                <w:u/>
              </w:rPr>
            </w:r>
          </w:p>
        </w:tc>
        <w:tc>
          <w:tcPr>
            <w:tcW w:w="1012" w:type="dxa"/>
            <w:vAlign w:val="center"/>
          </w:tcPr>
          <w:p>
            <w:pPr>
              <w:pBdr/>
              <w:ind/>
              <w:jc w:val="center"/>
            </w:pPr>
            <w:r>
              <w:rPr>
                <w:sz w:val="24"/>
                <w:u w:color="auto"/>
              </w:rPr>
              <w:t>氢气</w:t>
            </w:r>
            <w:r>
              <w:rPr>
                <w:u/>
              </w:rPr>
            </w:r>
          </w:p>
        </w:tc>
        <w:tc>
          <w:tcPr>
            <w:tcW w:w="1012" w:type="dxa"/>
            <w:vAlign w:val="center"/>
          </w:tcPr>
          <w:p>
            <w:pPr>
              <w:pBdr/>
              <w:ind/>
              <w:jc w:val="center"/>
            </w:pPr>
            <w:r>
              <w:rPr>
                <w:sz w:val="24"/>
                <w:u w:color="auto"/>
              </w:rPr>
              <w:t>386.68</w:t>
            </w:r>
            <w:r>
              <w:rPr>
                <w:u/>
              </w:rPr>
            </w:r>
          </w:p>
        </w:tc>
        <w:tc>
          <w:tcPr>
            <w:tcW w:w="1012" w:type="dxa"/>
            <w:vAlign w:val="center"/>
          </w:tcPr>
          <w:p>
            <w:pPr>
              <w:pBdr/>
              <w:ind/>
              <w:jc w:val="center"/>
            </w:pPr>
            <w:r>
              <w:rPr>
                <w:sz w:val="24"/>
                <w:u w:color="auto"/>
              </w:rPr>
              <w:t>吨</w:t>
            </w:r>
            <w:r>
              <w:rPr>
                <w:u/>
              </w:rPr>
            </w:r>
          </w:p>
        </w:tc>
      </w:tr>
      <w:tr>
        <w:trPr>
          <w:trHeight w:val="850" w:hRule="atLeast"/>
        </w:trPr>
        <w:tc>
          <w:tcPr>
            <w:tcW w:w="1012" w:type="dxa"/>
            <w:vMerge w:val="restart"/>
            <w:vAlign w:val="center"/>
          </w:tcPr>
          <w:p>
            <w:pPr>
              <w:pBdr/>
              <w:ind/>
              <w:jc w:val="center"/>
            </w:pPr>
            <w:r>
              <w:rPr>
                <w:sz w:val="24"/>
                <w:u w:color="auto"/>
              </w:rPr>
              <w:t>烧碱装置</w:t>
            </w:r>
            <w:r>
              <w:rPr>
                <w:u/>
              </w:rPr>
            </w:r>
          </w:p>
        </w:tc>
        <w:tc>
          <w:tcPr>
            <w:tcW w:w="1012" w:type="dxa"/>
            <w:vMerge w:val="restart"/>
            <w:vAlign w:val="center"/>
          </w:tcPr>
          <w:p>
            <w:pPr>
              <w:pBdr/>
              <w:ind/>
              <w:jc w:val="center"/>
            </w:pPr>
            <w:r>
              <w:rPr>
                <w:sz w:val="24"/>
                <w:u w:color="auto"/>
              </w:rPr>
              <w:t>PU009/PU012/PU013</w:t>
            </w:r>
            <w:r>
              <w:rPr>
                <w:u/>
              </w:rPr>
            </w:r>
          </w:p>
        </w:tc>
        <w:tc>
          <w:tcPr>
            <w:tcW w:w="1012" w:type="dxa"/>
            <w:vMerge w:val="restart"/>
            <w:vAlign w:val="center"/>
          </w:tcPr>
          <w:p>
            <w:pPr>
              <w:pBdr/>
              <w:ind/>
              <w:jc w:val="center"/>
            </w:pPr>
            <w:r>
              <w:rPr>
                <w:sz w:val="24"/>
                <w:u w:color="auto"/>
              </w:rPr>
              <w:t>盐水精制、电解、脱氯、</w:t>
            </w:r>
            <w:r>
              <w:rPr>
                <w:u/>
              </w:rPr>
            </w:r>
          </w:p>
        </w:tc>
        <w:tc>
          <w:tcPr>
            <w:tcW w:w="1012" w:type="dxa"/>
            <w:vMerge w:val="restart"/>
            <w:vAlign w:val="center"/>
          </w:tcPr>
          <w:p>
            <w:pPr>
              <w:pBdr/>
              <w:ind/>
              <w:jc w:val="center"/>
            </w:pPr>
            <w:r>
              <w:rPr>
                <w:sz w:val="24"/>
                <w:u w:color="auto"/>
              </w:rPr>
              <w:t>电解工艺</w:t>
            </w:r>
            <w:r>
              <w:rPr>
                <w:u/>
              </w:rPr>
            </w:r>
          </w:p>
        </w:tc>
        <w:tc>
          <w:tcPr>
            <w:tcW w:w="1012" w:type="dxa"/>
            <w:vMerge w:val="restart"/>
            <w:vAlign w:val="center"/>
          </w:tcPr>
          <w:p>
            <w:pPr>
              <w:pBdr/>
              <w:ind/>
              <w:jc w:val="center"/>
            </w:pPr>
            <w:r>
              <w:rPr>
                <w:sz w:val="24"/>
                <w:u w:color="auto"/>
              </w:rPr>
              <w:t>250000</w:t>
            </w:r>
            <w:r>
              <w:rPr>
                <w:u/>
              </w:rPr>
            </w:r>
          </w:p>
        </w:tc>
        <w:tc>
          <w:tcPr>
            <w:tcW w:w="1012" w:type="dxa"/>
            <w:vMerge w:val="restart"/>
            <w:vAlign w:val="center"/>
          </w:tcPr>
          <w:p>
            <w:pPr>
              <w:pBdr/>
              <w:ind/>
              <w:jc w:val="center"/>
            </w:pPr>
            <w:r>
              <w:rPr>
                <w:sz w:val="24"/>
                <w:u w:color="auto"/>
              </w:rPr>
              <w:t>吨</w:t>
            </w:r>
            <w:r>
              <w:rPr>
                <w:u/>
              </w:rPr>
            </w:r>
          </w:p>
        </w:tc>
        <w:tc>
          <w:tcPr>
            <w:tcW w:w="1012" w:type="dxa"/>
            <w:vMerge w:val="restart"/>
            <w:vAlign w:val="center"/>
          </w:tcPr>
          <w:p>
            <w:pPr>
              <w:pBdr/>
              <w:ind/>
              <w:jc w:val="center"/>
            </w:pPr>
            <w:r>
              <w:rPr>
                <w:sz w:val="24"/>
                <w:u w:color="auto"/>
              </w:rPr>
              <w:t>最终产品</w:t>
            </w:r>
            <w:r>
              <w:rPr>
                <w:u/>
              </w:rPr>
            </w:r>
          </w:p>
        </w:tc>
        <w:tc>
          <w:tcPr>
            <w:tcW w:w="1012" w:type="dxa"/>
            <w:vMerge w:val="restart"/>
            <w:vAlign w:val="center"/>
          </w:tcPr>
          <w:p>
            <w:pPr>
              <w:pBdr/>
              <w:ind/>
              <w:jc w:val="center"/>
            </w:pPr>
            <w:r>
              <w:rPr>
                <w:sz w:val="24"/>
                <w:u w:color="auto"/>
              </w:rPr>
              <w:t>烧碱</w:t>
            </w:r>
            <w:r>
              <w:rPr>
                <w:u/>
              </w:rPr>
            </w:r>
          </w:p>
        </w:tc>
        <w:tc>
          <w:tcPr>
            <w:tcW w:w="1012" w:type="dxa"/>
            <w:vMerge w:val="restart"/>
            <w:vAlign w:val="center"/>
          </w:tcPr>
          <w:p>
            <w:pPr>
              <w:pBdr/>
              <w:ind/>
              <w:jc w:val="center"/>
            </w:pPr>
            <w:r>
              <w:rPr>
                <w:sz w:val="24"/>
                <w:u w:color="auto"/>
              </w:rPr>
              <w:t>250000</w:t>
            </w:r>
            <w:r>
              <w:rPr>
                <w:u/>
              </w:rPr>
            </w:r>
          </w:p>
        </w:tc>
        <w:tc>
          <w:tcPr>
            <w:tcW w:w="1012" w:type="dxa"/>
            <w:vMerge w:val="restart"/>
            <w:vAlign w:val="center"/>
          </w:tcPr>
          <w:p>
            <w:pPr>
              <w:pBdr/>
              <w:ind/>
              <w:jc w:val="center"/>
            </w:pPr>
            <w:r>
              <w:rPr>
                <w:sz w:val="24"/>
                <w:u w:color="auto"/>
              </w:rPr>
              <w:t>吨</w:t>
            </w:r>
            <w:r>
              <w:rPr>
                <w:u/>
              </w:rPr>
            </w:r>
          </w:p>
        </w:tc>
        <w:tc>
          <w:tcPr>
            <w:tcW w:w="1012" w:type="dxa"/>
            <w:vAlign w:val="center"/>
          </w:tcPr>
          <w:p>
            <w:pPr>
              <w:pBdr/>
              <w:ind/>
              <w:jc w:val="center"/>
            </w:pPr>
            <w:r>
              <w:rPr>
                <w:sz w:val="24"/>
                <w:u w:color="auto"/>
              </w:rPr>
              <w:t>原料</w:t>
            </w:r>
            <w:r>
              <w:rPr>
                <w:u/>
              </w:rPr>
            </w:r>
          </w:p>
        </w:tc>
        <w:tc>
          <w:tcPr>
            <w:tcW w:w="1012" w:type="dxa"/>
            <w:vAlign w:val="center"/>
          </w:tcPr>
          <w:p>
            <w:pPr>
              <w:pBdr/>
              <w:ind/>
              <w:jc w:val="center"/>
            </w:pPr>
            <w:r>
              <w:rPr>
                <w:sz w:val="24"/>
                <w:u w:color="auto"/>
              </w:rPr>
              <w:t>原盐</w:t>
            </w:r>
            <w:r>
              <w:rPr>
                <w:u/>
              </w:rPr>
            </w:r>
          </w:p>
        </w:tc>
        <w:tc>
          <w:tcPr>
            <w:tcW w:w="1012" w:type="dxa"/>
            <w:vAlign w:val="center"/>
          </w:tcPr>
          <w:p>
            <w:pPr>
              <w:pBdr/>
              <w:ind/>
              <w:jc w:val="center"/>
            </w:pPr>
            <w:r>
              <w:rPr>
                <w:sz w:val="24"/>
                <w:u w:color="auto"/>
              </w:rPr>
              <w:t>29.81832</w:t>
            </w:r>
            <w:r>
              <w:rPr>
                <w:u/>
              </w:rPr>
            </w:r>
          </w:p>
        </w:tc>
        <w:tc>
          <w:tcPr>
            <w:tcW w:w="1012" w:type="dxa"/>
            <w:vAlign w:val="center"/>
          </w:tcPr>
          <w:p>
            <w:pPr>
              <w:pBdr/>
              <w:ind/>
              <w:jc w:val="center"/>
            </w:pPr>
            <w:r>
              <w:rPr>
                <w:sz w:val="24"/>
                <w:u w:color="auto"/>
              </w:rPr>
              <w:t>吨</w:t>
            </w:r>
            <w:r>
              <w:rPr>
                <w:u/>
              </w:rPr>
            </w:r>
          </w:p>
        </w:tc>
      </w:tr>
      <w:tr>
        <w:trPr>
          <w:trHeight w:val="850" w:hRule="atLeast"/>
        </w:trPr>
        <w:tc>
          <w:tcPr>
            <w:tcW w:w="1012" w:type="dxa"/>
            <w:vMerge w:val="continue"/>
            <w:vAlign w:val="center"/>
          </w:tcPr>
          <w:p>
            <w:pPr>
              <w:pBdr/>
              <w:ind/>
              <w:jc w:val="center"/>
            </w:pPr>
            <w:r>
              <w:rPr>
                <w:sz w:val="24"/>
                <w:u w:color="auto"/>
              </w:rPr>
              <w:t>烧碱装置</w:t>
            </w:r>
            <w:r>
              <w:rPr>
                <w:u/>
              </w:rPr>
            </w:r>
          </w:p>
        </w:tc>
        <w:tc>
          <w:tcPr>
            <w:tcW w:w="1012" w:type="dxa"/>
            <w:vMerge w:val="continue"/>
            <w:vAlign w:val="center"/>
          </w:tcPr>
          <w:p>
            <w:pPr>
              <w:pBdr/>
              <w:ind/>
              <w:jc w:val="center"/>
            </w:pPr>
            <w:r>
              <w:rPr>
                <w:sz w:val="24"/>
                <w:u w:color="auto"/>
              </w:rPr>
              <w:t>PU009/PU012/PU013</w:t>
            </w:r>
            <w:r>
              <w:rPr>
                <w:u/>
              </w:rPr>
            </w:r>
          </w:p>
        </w:tc>
        <w:tc>
          <w:tcPr>
            <w:tcW w:w="1012" w:type="dxa"/>
            <w:vMerge w:val="continue"/>
            <w:vAlign w:val="center"/>
          </w:tcPr>
          <w:p>
            <w:pPr>
              <w:pBdr/>
              <w:ind/>
              <w:jc w:val="center"/>
            </w:pPr>
            <w:r>
              <w:rPr>
                <w:sz w:val="24"/>
                <w:u w:color="auto"/>
              </w:rPr>
              <w:t>盐水精制、电解、脱氯、</w:t>
            </w:r>
            <w:r>
              <w:rPr>
                <w:u/>
              </w:rPr>
            </w:r>
          </w:p>
        </w:tc>
        <w:tc>
          <w:tcPr>
            <w:tcW w:w="1012" w:type="dxa"/>
            <w:vMerge w:val="continue"/>
            <w:vAlign w:val="center"/>
          </w:tcPr>
          <w:p>
            <w:pPr>
              <w:pBdr/>
              <w:ind/>
              <w:jc w:val="center"/>
            </w:pPr>
            <w:r>
              <w:rPr>
                <w:sz w:val="24"/>
                <w:u w:color="auto"/>
              </w:rPr>
              <w:t>电解工艺</w:t>
            </w:r>
            <w:r>
              <w:rPr>
                <w:u/>
              </w:rPr>
            </w:r>
          </w:p>
        </w:tc>
        <w:tc>
          <w:tcPr>
            <w:tcW w:w="1012" w:type="dxa"/>
            <w:vMerge w:val="continue"/>
            <w:vAlign w:val="center"/>
          </w:tcPr>
          <w:p>
            <w:pPr>
              <w:pBdr/>
              <w:ind/>
              <w:jc w:val="center"/>
            </w:pPr>
            <w:r>
              <w:rPr>
                <w:sz w:val="24"/>
                <w:u w:color="auto"/>
              </w:rPr>
              <w:t>250000</w:t>
            </w:r>
            <w:r>
              <w:rPr>
                <w:u/>
              </w:rPr>
            </w:r>
          </w:p>
        </w:tc>
        <w:tc>
          <w:tcPr>
            <w:tcW w:w="1012" w:type="dxa"/>
            <w:vMerge w:val="continue"/>
            <w:vAlign w:val="center"/>
          </w:tcPr>
          <w:p>
            <w:pPr>
              <w:pBdr/>
              <w:ind/>
              <w:jc w:val="center"/>
            </w:pPr>
            <w:r>
              <w:rPr>
                <w:sz w:val="24"/>
                <w:u w:color="auto"/>
              </w:rPr>
              <w:t>吨</w:t>
            </w:r>
            <w:r>
              <w:rPr>
                <w:u/>
              </w:rPr>
            </w:r>
          </w:p>
        </w:tc>
        <w:tc>
          <w:tcPr>
            <w:tcW w:w="1012" w:type="dxa"/>
            <w:vMerge w:val="continue"/>
            <w:vAlign w:val="center"/>
          </w:tcPr>
          <w:p>
            <w:pPr>
              <w:pBdr/>
              <w:ind/>
              <w:jc w:val="center"/>
            </w:pPr>
            <w:r>
              <w:rPr>
                <w:sz w:val="24"/>
                <w:u w:color="auto"/>
              </w:rPr>
              <w:t>最终产品</w:t>
            </w:r>
            <w:r>
              <w:rPr>
                <w:u/>
              </w:rPr>
            </w:r>
          </w:p>
        </w:tc>
        <w:tc>
          <w:tcPr>
            <w:tcW w:w="1012" w:type="dxa"/>
            <w:vMerge w:val="continue"/>
            <w:vAlign w:val="center"/>
          </w:tcPr>
          <w:p>
            <w:pPr>
              <w:pBdr/>
              <w:ind/>
              <w:jc w:val="center"/>
            </w:pPr>
            <w:r>
              <w:rPr>
                <w:sz w:val="24"/>
                <w:u w:color="auto"/>
              </w:rPr>
              <w:t>烧碱</w:t>
            </w:r>
            <w:r>
              <w:rPr>
                <w:u/>
              </w:rPr>
            </w:r>
          </w:p>
        </w:tc>
        <w:tc>
          <w:tcPr>
            <w:tcW w:w="1012" w:type="dxa"/>
            <w:vMerge w:val="continue"/>
            <w:vAlign w:val="center"/>
          </w:tcPr>
          <w:p>
            <w:pPr>
              <w:pBdr/>
              <w:ind/>
              <w:jc w:val="center"/>
            </w:pPr>
            <w:r>
              <w:rPr>
                <w:sz w:val="24"/>
                <w:u w:color="auto"/>
              </w:rPr>
              <w:t>250000</w:t>
            </w:r>
            <w:r>
              <w:rPr>
                <w:u/>
              </w:rPr>
            </w:r>
          </w:p>
        </w:tc>
        <w:tc>
          <w:tcPr>
            <w:tcW w:w="1012" w:type="dxa"/>
            <w:vMerge w:val="continue"/>
            <w:vAlign w:val="center"/>
          </w:tcPr>
          <w:p>
            <w:pPr>
              <w:pBdr/>
              <w:ind/>
              <w:jc w:val="center"/>
            </w:pPr>
            <w:r>
              <w:rPr>
                <w:sz w:val="24"/>
                <w:u w:color="auto"/>
              </w:rPr>
              <w:t>吨</w:t>
            </w:r>
            <w:r>
              <w:rPr>
                <w:u/>
              </w:rPr>
            </w:r>
          </w:p>
        </w:tc>
        <w:tc>
          <w:tcPr>
            <w:tcW w:w="1012" w:type="dxa"/>
            <w:vAlign w:val="center"/>
          </w:tcPr>
          <w:p>
            <w:pPr>
              <w:pBdr/>
              <w:ind/>
              <w:jc w:val="center"/>
            </w:pPr>
            <w:r>
              <w:rPr>
                <w:sz w:val="24"/>
                <w:u w:color="auto"/>
              </w:rPr>
              <w:t>辅料</w:t>
            </w:r>
            <w:r>
              <w:rPr>
                <w:u/>
              </w:rPr>
            </w:r>
          </w:p>
        </w:tc>
        <w:tc>
          <w:tcPr>
            <w:tcW w:w="1012" w:type="dxa"/>
            <w:vAlign w:val="center"/>
          </w:tcPr>
          <w:p>
            <w:pPr>
              <w:pBdr/>
              <w:ind/>
              <w:jc w:val="center"/>
            </w:pPr>
            <w:r>
              <w:rPr>
                <w:sz w:val="24"/>
                <w:u w:color="auto"/>
              </w:rPr>
              <w:t>氯化钡</w:t>
            </w:r>
            <w:r>
              <w:rPr>
                <w:u/>
              </w:rPr>
            </w:r>
          </w:p>
        </w:tc>
        <w:tc>
          <w:tcPr>
            <w:tcW w:w="1012" w:type="dxa"/>
            <w:vAlign w:val="center"/>
          </w:tcPr>
          <w:p>
            <w:pPr>
              <w:pBdr/>
              <w:ind/>
              <w:jc w:val="center"/>
            </w:pPr>
            <w:r>
              <w:rPr>
                <w:sz w:val="24"/>
                <w:u w:color="auto"/>
              </w:rPr>
              <w:t>6804.64</w:t>
            </w:r>
            <w:r>
              <w:rPr>
                <w:u/>
              </w:rPr>
            </w:r>
          </w:p>
        </w:tc>
        <w:tc>
          <w:tcPr>
            <w:tcW w:w="1012" w:type="dxa"/>
            <w:vAlign w:val="center"/>
          </w:tcPr>
          <w:p>
            <w:pPr>
              <w:pBdr/>
              <w:ind/>
              <w:jc w:val="center"/>
            </w:pPr>
            <w:r>
              <w:rPr>
                <w:sz w:val="24"/>
                <w:u w:color="auto"/>
              </w:rPr>
              <w:t>吨</w:t>
            </w:r>
            <w:r>
              <w:rPr>
                <w:u/>
              </w:rPr>
            </w:r>
          </w:p>
        </w:tc>
      </w:tr>
      <w:tr>
        <w:trPr>
          <w:trHeight w:val="850" w:hRule="atLeast"/>
        </w:trPr>
        <w:tc>
          <w:tcPr>
            <w:tcW w:w="1012" w:type="dxa"/>
            <w:vMerge w:val="restart"/>
            <w:vAlign w:val="center"/>
          </w:tcPr>
          <w:p>
            <w:pPr>
              <w:pBdr/>
              <w:ind/>
              <w:jc w:val="center"/>
            </w:pPr>
            <w:r>
              <w:rPr>
                <w:sz w:val="24"/>
                <w:u w:color="auto"/>
              </w:rPr>
              <w:t>多氯苯分离装置</w:t>
            </w:r>
            <w:r>
              <w:rPr>
                <w:u/>
              </w:rPr>
            </w:r>
          </w:p>
        </w:tc>
        <w:tc>
          <w:tcPr>
            <w:tcW w:w="1012" w:type="dxa"/>
            <w:vMerge w:val="restart"/>
            <w:vAlign w:val="center"/>
          </w:tcPr>
          <w:p>
            <w:pPr>
              <w:pBdr/>
              <w:ind/>
              <w:jc w:val="center"/>
            </w:pPr>
            <w:r>
              <w:rPr>
                <w:sz w:val="24"/>
                <w:u w:color="auto"/>
              </w:rPr>
              <w:t>PU010</w:t>
            </w:r>
            <w:r>
              <w:rPr>
                <w:u/>
              </w:rPr>
            </w:r>
          </w:p>
        </w:tc>
        <w:tc>
          <w:tcPr>
            <w:tcW w:w="1012" w:type="dxa"/>
            <w:vMerge w:val="restart"/>
            <w:vAlign w:val="center"/>
          </w:tcPr>
          <w:p>
            <w:pPr>
              <w:pBdr/>
              <w:ind/>
              <w:jc w:val="center"/>
            </w:pPr>
            <w:r>
              <w:rPr>
                <w:sz w:val="24"/>
                <w:u w:color="auto"/>
              </w:rPr>
              <w:t>二级精馏→脱焦→结晶→母液分离</w:t>
            </w:r>
            <w:r>
              <w:rPr>
                <w:u/>
              </w:rPr>
            </w:r>
          </w:p>
        </w:tc>
        <w:tc>
          <w:tcPr>
            <w:tcW w:w="1012" w:type="dxa"/>
            <w:vMerge w:val="restart"/>
            <w:vAlign w:val="center"/>
          </w:tcPr>
          <w:p>
            <w:pPr>
              <w:pBdr/>
              <w:ind/>
              <w:jc w:val="center"/>
            </w:pPr>
            <w:r>
              <w:rPr>
                <w:sz w:val="24"/>
                <w:u w:color="auto"/>
              </w:rPr>
              <w:t>蒸馏（精馏)</w:t>
            </w:r>
            <w:r>
              <w:rPr>
                <w:u/>
              </w:rPr>
            </w:r>
          </w:p>
        </w:tc>
        <w:tc>
          <w:tcPr>
            <w:tcW w:w="1012" w:type="dxa"/>
            <w:vMerge w:val="restart"/>
            <w:vAlign w:val="center"/>
          </w:tcPr>
          <w:p>
            <w:pPr>
              <w:pBdr/>
              <w:ind/>
              <w:jc w:val="center"/>
            </w:pPr>
            <w:r>
              <w:rPr>
                <w:sz w:val="24"/>
                <w:u w:color="auto"/>
              </w:rPr>
              <w:t>3000</w:t>
            </w:r>
            <w:r>
              <w:rPr>
                <w:u/>
              </w:rPr>
            </w:r>
          </w:p>
        </w:tc>
        <w:tc>
          <w:tcPr>
            <w:tcW w:w="1012" w:type="dxa"/>
            <w:vMerge w:val="restart"/>
            <w:vAlign w:val="center"/>
          </w:tcPr>
          <w:p>
            <w:pPr>
              <w:pBdr/>
              <w:ind/>
              <w:jc w:val="center"/>
            </w:pPr>
            <w:r>
              <w:rPr>
                <w:sz w:val="24"/>
                <w:u w:color="auto"/>
              </w:rPr>
              <w:t>吨</w:t>
            </w:r>
            <w:r>
              <w:rPr>
                <w:u/>
              </w:rPr>
            </w:r>
          </w:p>
        </w:tc>
        <w:tc>
          <w:tcPr>
            <w:tcW w:w="1012" w:type="dxa"/>
            <w:vMerge w:val="restart"/>
            <w:vAlign w:val="center"/>
          </w:tcPr>
          <w:p>
            <w:pPr>
              <w:pBdr/>
              <w:ind/>
              <w:jc w:val="center"/>
            </w:pPr>
            <w:r>
              <w:rPr>
                <w:sz w:val="24"/>
                <w:u w:color="auto"/>
              </w:rPr>
              <w:t>最终产品</w:t>
            </w:r>
            <w:r>
              <w:rPr>
                <w:u/>
              </w:rPr>
            </w:r>
          </w:p>
        </w:tc>
        <w:tc>
          <w:tcPr>
            <w:tcW w:w="1012" w:type="dxa"/>
            <w:vMerge w:val="restart"/>
            <w:vAlign w:val="center"/>
          </w:tcPr>
          <w:p>
            <w:pPr>
              <w:pBdr/>
              <w:ind/>
              <w:jc w:val="center"/>
            </w:pPr>
            <w:r>
              <w:rPr>
                <w:sz w:val="24"/>
                <w:u w:color="auto"/>
              </w:rPr>
              <w:t>对二氯苯</w:t>
            </w:r>
            <w:r>
              <w:rPr>
                <w:u/>
              </w:rPr>
            </w:r>
          </w:p>
        </w:tc>
        <w:tc>
          <w:tcPr>
            <w:tcW w:w="1012" w:type="dxa"/>
            <w:vMerge w:val="restart"/>
            <w:vAlign w:val="center"/>
          </w:tcPr>
          <w:p>
            <w:pPr>
              <w:pBdr/>
              <w:ind/>
              <w:jc w:val="center"/>
            </w:pPr>
            <w:r>
              <w:rPr>
                <w:sz w:val="24"/>
                <w:u w:color="auto"/>
              </w:rPr>
              <w:t>1163.6</w:t>
            </w:r>
            <w:r>
              <w:rPr>
                <w:u/>
              </w:rPr>
            </w:r>
          </w:p>
        </w:tc>
        <w:tc>
          <w:tcPr>
            <w:tcW w:w="1012" w:type="dxa"/>
            <w:vMerge w:val="restart"/>
            <w:vAlign w:val="center"/>
          </w:tcPr>
          <w:p>
            <w:pPr>
              <w:pBdr/>
              <w:ind/>
              <w:jc w:val="center"/>
            </w:pPr>
            <w:r>
              <w:rPr>
                <w:sz w:val="24"/>
                <w:u w:color="auto"/>
              </w:rPr>
              <w:t>吨</w:t>
            </w:r>
            <w:r>
              <w:rPr>
                <w:u/>
              </w:rPr>
            </w:r>
          </w:p>
        </w:tc>
        <w:tc>
          <w:tcPr>
            <w:tcW w:w="1012" w:type="dxa"/>
            <w:vAlign w:val="center"/>
          </w:tcPr>
          <w:p>
            <w:pPr>
              <w:pBdr/>
              <w:ind/>
              <w:jc w:val="center"/>
            </w:pPr>
            <w:r>
              <w:rPr>
                <w:sz w:val="24"/>
                <w:u w:color="auto"/>
              </w:rPr>
              <w:t>原料</w:t>
            </w:r>
            <w:r>
              <w:rPr>
                <w:u/>
              </w:rPr>
            </w:r>
          </w:p>
        </w:tc>
        <w:tc>
          <w:tcPr>
            <w:tcW w:w="1012" w:type="dxa"/>
            <w:vAlign w:val="center"/>
          </w:tcPr>
          <w:p>
            <w:pPr>
              <w:pBdr/>
              <w:ind/>
              <w:jc w:val="center"/>
            </w:pPr>
            <w:r>
              <w:rPr>
                <w:sz w:val="24"/>
                <w:u w:color="auto"/>
              </w:rPr>
              <w:t>多氯苯</w:t>
            </w:r>
            <w:r>
              <w:rPr>
                <w:u/>
              </w:rPr>
            </w:r>
          </w:p>
        </w:tc>
        <w:tc>
          <w:tcPr>
            <w:tcW w:w="1012" w:type="dxa"/>
            <w:vAlign w:val="center"/>
          </w:tcPr>
          <w:p>
            <w:pPr>
              <w:pBdr/>
              <w:ind/>
              <w:jc w:val="center"/>
            </w:pPr>
            <w:r>
              <w:rPr>
                <w:sz w:val="24"/>
                <w:u w:color="auto"/>
              </w:rPr>
              <w:t>3000</w:t>
            </w:r>
            <w:r>
              <w:rPr>
                <w:u/>
              </w:rPr>
            </w:r>
          </w:p>
        </w:tc>
        <w:tc>
          <w:tcPr>
            <w:tcW w:w="1012" w:type="dxa"/>
            <w:vAlign w:val="center"/>
          </w:tcPr>
          <w:p>
            <w:pPr>
              <w:pBdr/>
              <w:ind/>
              <w:jc w:val="center"/>
            </w:pPr>
            <w:r>
              <w:rPr>
                <w:sz w:val="24"/>
                <w:u w:color="auto"/>
              </w:rPr>
              <w:t>吨</w:t>
            </w:r>
            <w:r>
              <w:rPr>
                <w:u/>
              </w:rPr>
            </w:r>
          </w:p>
        </w:tc>
      </w:tr>
      <w:tr>
        <w:trPr>
          <w:trHeight w:val="850" w:hRule="atLeast"/>
        </w:trPr>
        <w:tc>
          <w:tcPr>
            <w:tcW w:w="1012" w:type="dxa"/>
            <w:vMerge w:val="continue"/>
            <w:vAlign w:val="center"/>
          </w:tcPr>
          <w:p>
            <w:pPr>
              <w:pBdr/>
              <w:ind/>
              <w:jc w:val="center"/>
            </w:pPr>
            <w:r>
              <w:rPr>
                <w:sz w:val="24"/>
                <w:u w:color="auto"/>
              </w:rPr>
              <w:t>多氯苯分离装置</w:t>
            </w:r>
            <w:r>
              <w:rPr>
                <w:u/>
              </w:rPr>
            </w:r>
          </w:p>
        </w:tc>
        <w:tc>
          <w:tcPr>
            <w:tcW w:w="1012" w:type="dxa"/>
            <w:vMerge w:val="continue"/>
            <w:vAlign w:val="center"/>
          </w:tcPr>
          <w:p>
            <w:pPr>
              <w:pBdr/>
              <w:ind/>
              <w:jc w:val="center"/>
            </w:pPr>
            <w:r>
              <w:rPr>
                <w:sz w:val="24"/>
                <w:u w:color="auto"/>
              </w:rPr>
              <w:t>PU010</w:t>
            </w:r>
            <w:r>
              <w:rPr>
                <w:u/>
              </w:rPr>
            </w:r>
          </w:p>
        </w:tc>
        <w:tc>
          <w:tcPr>
            <w:tcW w:w="1012" w:type="dxa"/>
            <w:vMerge w:val="continue"/>
            <w:vAlign w:val="center"/>
          </w:tcPr>
          <w:p>
            <w:pPr>
              <w:pBdr/>
              <w:ind/>
              <w:jc w:val="center"/>
            </w:pPr>
            <w:r>
              <w:rPr>
                <w:sz w:val="24"/>
                <w:u w:color="auto"/>
              </w:rPr>
              <w:t>二级精馏→脱焦→结晶→母液分离</w:t>
            </w:r>
            <w:r>
              <w:rPr>
                <w:u/>
              </w:rPr>
            </w:r>
          </w:p>
        </w:tc>
        <w:tc>
          <w:tcPr>
            <w:tcW w:w="1012" w:type="dxa"/>
            <w:vMerge w:val="continue"/>
            <w:vAlign w:val="center"/>
          </w:tcPr>
          <w:p>
            <w:pPr>
              <w:pBdr/>
              <w:ind/>
              <w:jc w:val="center"/>
            </w:pPr>
            <w:r>
              <w:rPr>
                <w:sz w:val="24"/>
                <w:u w:color="auto"/>
              </w:rPr>
              <w:t>蒸馏（精馏)</w:t>
            </w:r>
            <w:r>
              <w:rPr>
                <w:u/>
              </w:rPr>
            </w:r>
          </w:p>
        </w:tc>
        <w:tc>
          <w:tcPr>
            <w:tcW w:w="1012" w:type="dxa"/>
            <w:vMerge w:val="continue"/>
            <w:vAlign w:val="center"/>
          </w:tcPr>
          <w:p>
            <w:pPr>
              <w:pBdr/>
              <w:ind/>
              <w:jc w:val="center"/>
            </w:pPr>
            <w:r>
              <w:rPr>
                <w:sz w:val="24"/>
                <w:u w:color="auto"/>
              </w:rPr>
              <w:t>3000</w:t>
            </w:r>
            <w:r>
              <w:rPr>
                <w:u/>
              </w:rPr>
            </w:r>
          </w:p>
        </w:tc>
        <w:tc>
          <w:tcPr>
            <w:tcW w:w="1012" w:type="dxa"/>
            <w:vMerge w:val="continue"/>
            <w:vAlign w:val="center"/>
          </w:tcPr>
          <w:p>
            <w:pPr>
              <w:pBdr/>
              <w:ind/>
              <w:jc w:val="center"/>
            </w:pPr>
            <w:r>
              <w:rPr>
                <w:sz w:val="24"/>
                <w:u w:color="auto"/>
              </w:rPr>
              <w:t>吨</w:t>
            </w:r>
            <w:r>
              <w:rPr>
                <w:u/>
              </w:rPr>
            </w:r>
          </w:p>
        </w:tc>
        <w:tc>
          <w:tcPr>
            <w:tcW w:w="1012" w:type="dxa"/>
            <w:vMerge w:val="continue"/>
            <w:vAlign w:val="center"/>
          </w:tcPr>
          <w:p>
            <w:pPr>
              <w:pBdr/>
              <w:ind/>
              <w:jc w:val="center"/>
            </w:pPr>
            <w:r>
              <w:rPr>
                <w:sz w:val="24"/>
                <w:u w:color="auto"/>
              </w:rPr>
              <w:t>最终产品</w:t>
            </w:r>
            <w:r>
              <w:rPr>
                <w:u/>
              </w:rPr>
            </w:r>
          </w:p>
        </w:tc>
        <w:tc>
          <w:tcPr>
            <w:tcW w:w="1012" w:type="dxa"/>
            <w:vMerge w:val="continue"/>
            <w:vAlign w:val="center"/>
          </w:tcPr>
          <w:p>
            <w:pPr>
              <w:pBdr/>
              <w:ind/>
              <w:jc w:val="center"/>
            </w:pPr>
            <w:r>
              <w:rPr>
                <w:sz w:val="24"/>
                <w:u w:color="auto"/>
              </w:rPr>
              <w:t>对二氯苯</w:t>
            </w:r>
            <w:r>
              <w:rPr>
                <w:u/>
              </w:rPr>
            </w:r>
          </w:p>
        </w:tc>
        <w:tc>
          <w:tcPr>
            <w:tcW w:w="1012" w:type="dxa"/>
            <w:vMerge w:val="continue"/>
            <w:vAlign w:val="center"/>
          </w:tcPr>
          <w:p>
            <w:pPr>
              <w:pBdr/>
              <w:ind/>
              <w:jc w:val="center"/>
            </w:pPr>
            <w:r>
              <w:rPr>
                <w:sz w:val="24"/>
                <w:u w:color="auto"/>
              </w:rPr>
              <w:t>1163.6</w:t>
            </w:r>
            <w:r>
              <w:rPr>
                <w:u/>
              </w:rPr>
            </w:r>
          </w:p>
        </w:tc>
        <w:tc>
          <w:tcPr>
            <w:tcW w:w="1012" w:type="dxa"/>
            <w:vMerge w:val="continue"/>
            <w:vAlign w:val="center"/>
          </w:tcPr>
          <w:p>
            <w:pPr>
              <w:pBdr/>
              <w:ind/>
              <w:jc w:val="center"/>
            </w:pPr>
            <w:r>
              <w:rPr>
                <w:sz w:val="24"/>
                <w:u w:color="auto"/>
              </w:rPr>
              <w:t>吨</w:t>
            </w:r>
            <w:r>
              <w:rPr>
                <w:u/>
              </w:rPr>
            </w:r>
          </w:p>
        </w:tc>
        <w:tc>
          <w:tcPr>
            <w:tcW w:w="1012" w:type="dxa"/>
            <w:vAlign w:val="center"/>
          </w:tcPr>
          <w:p>
            <w:pPr>
              <w:pBdr/>
              <w:ind/>
              <w:jc w:val="center"/>
            </w:pPr>
            <w:r>
              <w:rPr>
                <w:sz w:val="24"/>
                <w:u w:color="auto"/>
              </w:rPr>
              <w:t>辅料</w:t>
            </w:r>
            <w:r>
              <w:rPr>
                <w:u/>
              </w:rPr>
            </w:r>
          </w:p>
        </w:tc>
        <w:tc>
          <w:tcPr>
            <w:tcW w:w="1012" w:type="dxa"/>
            <w:vAlign w:val="center"/>
          </w:tcPr>
          <w:p>
            <w:pPr>
              <w:pBdr/>
              <w:ind/>
              <w:jc w:val="center"/>
            </w:pPr>
            <w:r>
              <w:rPr>
                <w:sz w:val="24"/>
                <w:u w:color="auto"/>
              </w:rPr>
              <w:t>液碱</w:t>
            </w:r>
            <w:r>
              <w:rPr>
                <w:u/>
              </w:rPr>
            </w:r>
          </w:p>
        </w:tc>
        <w:tc>
          <w:tcPr>
            <w:tcW w:w="1012" w:type="dxa"/>
            <w:vAlign w:val="center"/>
          </w:tcPr>
          <w:p>
            <w:pPr>
              <w:pBdr/>
              <w:ind/>
              <w:jc w:val="center"/>
            </w:pPr>
            <w:r>
              <w:rPr>
                <w:sz w:val="24"/>
                <w:u w:color="auto"/>
              </w:rPr>
              <w:t>32</w:t>
            </w:r>
            <w:r>
              <w:rPr>
                <w:u/>
              </w:rPr>
            </w:r>
          </w:p>
        </w:tc>
        <w:tc>
          <w:tcPr>
            <w:tcW w:w="1012" w:type="dxa"/>
            <w:vAlign w:val="center"/>
          </w:tcPr>
          <w:p>
            <w:pPr>
              <w:pBdr/>
              <w:ind/>
              <w:jc w:val="center"/>
            </w:pPr>
            <w:r>
              <w:rPr>
                <w:sz w:val="24"/>
                <w:u w:color="auto"/>
              </w:rPr>
              <w:t>吨</w:t>
            </w:r>
            <w:r>
              <w:rPr>
                <w:u/>
              </w:rPr>
            </w:r>
          </w:p>
        </w:tc>
      </w:tr>
      <w:tr>
        <w:trPr>
          <w:trHeight w:val="850" w:hRule="atLeast"/>
        </w:trPr>
        <w:tc>
          <w:tcPr>
            <w:tcW w:w="1012" w:type="dxa"/>
            <w:vMerge w:val="continue"/>
            <w:vAlign w:val="center"/>
          </w:tcPr>
          <w:p>
            <w:pPr>
              <w:pBdr/>
              <w:ind/>
              <w:jc w:val="center"/>
            </w:pPr>
            <w:r>
              <w:rPr>
                <w:sz w:val="24"/>
                <w:u w:color="auto"/>
              </w:rPr>
              <w:t>多氯苯分离装置</w:t>
            </w:r>
            <w:r>
              <w:rPr>
                <w:u/>
              </w:rPr>
            </w:r>
          </w:p>
        </w:tc>
        <w:tc>
          <w:tcPr>
            <w:tcW w:w="1012" w:type="dxa"/>
            <w:vMerge w:val="continue"/>
            <w:vAlign w:val="center"/>
          </w:tcPr>
          <w:p>
            <w:pPr>
              <w:pBdr/>
              <w:ind/>
              <w:jc w:val="center"/>
            </w:pPr>
            <w:r>
              <w:rPr>
                <w:sz w:val="24"/>
                <w:u w:color="auto"/>
              </w:rPr>
              <w:t>PU010</w:t>
            </w:r>
            <w:r>
              <w:rPr>
                <w:u/>
              </w:rPr>
            </w:r>
          </w:p>
        </w:tc>
        <w:tc>
          <w:tcPr>
            <w:tcW w:w="1012" w:type="dxa"/>
            <w:vMerge w:val="continue"/>
            <w:vAlign w:val="center"/>
          </w:tcPr>
          <w:p>
            <w:pPr>
              <w:pBdr/>
              <w:ind/>
              <w:jc w:val="center"/>
            </w:pPr>
            <w:r>
              <w:rPr>
                <w:sz w:val="24"/>
                <w:u w:color="auto"/>
              </w:rPr>
              <w:t>二级精馏→脱焦→结晶→母液分离</w:t>
            </w:r>
            <w:r>
              <w:rPr>
                <w:u/>
              </w:rPr>
            </w:r>
          </w:p>
        </w:tc>
        <w:tc>
          <w:tcPr>
            <w:tcW w:w="1012" w:type="dxa"/>
            <w:vMerge w:val="continue"/>
            <w:vAlign w:val="center"/>
          </w:tcPr>
          <w:p>
            <w:pPr>
              <w:pBdr/>
              <w:ind/>
              <w:jc w:val="center"/>
            </w:pPr>
            <w:r>
              <w:rPr>
                <w:sz w:val="24"/>
                <w:u w:color="auto"/>
              </w:rPr>
              <w:t>蒸馏（精馏)</w:t>
            </w:r>
            <w:r>
              <w:rPr>
                <w:u/>
              </w:rPr>
            </w:r>
          </w:p>
        </w:tc>
        <w:tc>
          <w:tcPr>
            <w:tcW w:w="1012" w:type="dxa"/>
            <w:vMerge w:val="continue"/>
            <w:vAlign w:val="center"/>
          </w:tcPr>
          <w:p>
            <w:pPr>
              <w:pBdr/>
              <w:ind/>
              <w:jc w:val="center"/>
            </w:pPr>
            <w:r>
              <w:rPr>
                <w:sz w:val="24"/>
                <w:u w:color="auto"/>
              </w:rPr>
              <w:t>3000</w:t>
            </w:r>
            <w:r>
              <w:rPr>
                <w:u/>
              </w:rPr>
            </w:r>
          </w:p>
        </w:tc>
        <w:tc>
          <w:tcPr>
            <w:tcW w:w="1012" w:type="dxa"/>
            <w:vMerge w:val="continue"/>
            <w:vAlign w:val="center"/>
          </w:tcPr>
          <w:p>
            <w:pPr>
              <w:pBdr/>
              <w:ind/>
              <w:jc w:val="center"/>
            </w:pPr>
            <w:r>
              <w:rPr>
                <w:sz w:val="24"/>
                <w:u w:color="auto"/>
              </w:rPr>
              <w:t>吨</w:t>
            </w:r>
            <w:r>
              <w:rPr>
                <w:u/>
              </w:rPr>
            </w:r>
          </w:p>
        </w:tc>
        <w:tc>
          <w:tcPr>
            <w:tcW w:w="1012" w:type="dxa"/>
            <w:vMerge w:val="restart"/>
            <w:vAlign w:val="center"/>
          </w:tcPr>
          <w:p>
            <w:pPr>
              <w:pBdr/>
              <w:ind/>
              <w:jc w:val="center"/>
            </w:pPr>
            <w:r>
              <w:rPr>
                <w:sz w:val="24"/>
                <w:u w:color="auto"/>
              </w:rPr>
              <w:t>最终产品</w:t>
            </w:r>
            <w:r>
              <w:rPr>
                <w:u/>
              </w:rPr>
            </w:r>
          </w:p>
        </w:tc>
        <w:tc>
          <w:tcPr>
            <w:tcW w:w="1012" w:type="dxa"/>
            <w:vMerge w:val="restart"/>
            <w:vAlign w:val="center"/>
          </w:tcPr>
          <w:p>
            <w:pPr>
              <w:pBdr/>
              <w:ind/>
              <w:jc w:val="center"/>
            </w:pPr>
            <w:r>
              <w:rPr>
                <w:sz w:val="24"/>
                <w:u w:color="auto"/>
              </w:rPr>
              <w:t>邻二氯苯</w:t>
            </w:r>
            <w:r>
              <w:rPr>
                <w:u/>
              </w:rPr>
            </w:r>
          </w:p>
        </w:tc>
        <w:tc>
          <w:tcPr>
            <w:tcW w:w="1012" w:type="dxa"/>
            <w:vMerge w:val="restart"/>
            <w:vAlign w:val="center"/>
          </w:tcPr>
          <w:p>
            <w:pPr>
              <w:pBdr/>
              <w:ind/>
              <w:jc w:val="center"/>
            </w:pPr>
            <w:r>
              <w:rPr>
                <w:sz w:val="24"/>
                <w:u w:color="auto"/>
              </w:rPr>
              <w:t>1385.04</w:t>
            </w:r>
            <w:r>
              <w:rPr>
                <w:u/>
              </w:rPr>
            </w:r>
          </w:p>
        </w:tc>
        <w:tc>
          <w:tcPr>
            <w:tcW w:w="1012" w:type="dxa"/>
            <w:vMerge w:val="restart"/>
            <w:vAlign w:val="center"/>
          </w:tcPr>
          <w:p>
            <w:pPr>
              <w:pBdr/>
              <w:ind/>
              <w:jc w:val="center"/>
            </w:pPr>
            <w:r>
              <w:rPr>
                <w:sz w:val="24"/>
                <w:u w:color="auto"/>
              </w:rPr>
              <w:t>吨</w:t>
            </w:r>
            <w:r>
              <w:rPr>
                <w:u/>
              </w:rPr>
            </w:r>
          </w:p>
        </w:tc>
        <w:tc>
          <w:tcPr>
            <w:tcW w:w="1012" w:type="dxa"/>
            <w:vAlign w:val="center"/>
          </w:tcPr>
          <w:p>
            <w:pPr>
              <w:pBdr/>
              <w:ind/>
              <w:jc w:val="center"/>
            </w:pPr>
            <w:r>
              <w:rPr>
                <w:sz w:val="24"/>
                <w:u w:color="auto"/>
              </w:rPr>
              <w:t>原料</w:t>
            </w:r>
            <w:r>
              <w:rPr>
                <w:u/>
              </w:rPr>
            </w:r>
          </w:p>
        </w:tc>
        <w:tc>
          <w:tcPr>
            <w:tcW w:w="1012" w:type="dxa"/>
            <w:vAlign w:val="center"/>
          </w:tcPr>
          <w:p>
            <w:pPr>
              <w:pBdr/>
              <w:ind/>
              <w:jc w:val="center"/>
            </w:pPr>
            <w:r>
              <w:rPr>
                <w:sz w:val="24"/>
                <w:u w:color="auto"/>
              </w:rPr>
              <w:t>多氯苯</w:t>
            </w:r>
            <w:r>
              <w:rPr>
                <w:u/>
              </w:rPr>
            </w:r>
          </w:p>
        </w:tc>
        <w:tc>
          <w:tcPr>
            <w:tcW w:w="1012" w:type="dxa"/>
            <w:vAlign w:val="center"/>
          </w:tcPr>
          <w:p>
            <w:pPr>
              <w:pBdr/>
              <w:ind/>
              <w:jc w:val="center"/>
            </w:pPr>
            <w:r>
              <w:rPr>
                <w:sz w:val="24"/>
                <w:u w:color="auto"/>
              </w:rPr>
              <w:t>3000</w:t>
            </w:r>
            <w:r>
              <w:rPr>
                <w:u/>
              </w:rPr>
            </w:r>
          </w:p>
        </w:tc>
        <w:tc>
          <w:tcPr>
            <w:tcW w:w="1012" w:type="dxa"/>
            <w:vAlign w:val="center"/>
          </w:tcPr>
          <w:p>
            <w:pPr>
              <w:pBdr/>
              <w:ind/>
              <w:jc w:val="center"/>
            </w:pPr>
            <w:r>
              <w:rPr>
                <w:sz w:val="24"/>
                <w:u w:color="auto"/>
              </w:rPr>
              <w:t>吨</w:t>
            </w:r>
            <w:r>
              <w:rPr>
                <w:u/>
              </w:rPr>
            </w:r>
          </w:p>
        </w:tc>
      </w:tr>
      <w:tr>
        <w:trPr>
          <w:trHeight w:val="850" w:hRule="atLeast"/>
        </w:trPr>
        <w:tc>
          <w:tcPr>
            <w:tcW w:w="1012" w:type="dxa"/>
            <w:vMerge w:val="continue"/>
            <w:vAlign w:val="center"/>
          </w:tcPr>
          <w:p>
            <w:pPr>
              <w:pBdr/>
              <w:ind/>
              <w:jc w:val="center"/>
            </w:pPr>
            <w:r>
              <w:rPr>
                <w:sz w:val="24"/>
                <w:u w:color="auto"/>
              </w:rPr>
              <w:t>多氯苯分离装置</w:t>
            </w:r>
            <w:r>
              <w:rPr>
                <w:u/>
              </w:rPr>
            </w:r>
          </w:p>
        </w:tc>
        <w:tc>
          <w:tcPr>
            <w:tcW w:w="1012" w:type="dxa"/>
            <w:vMerge w:val="continue"/>
            <w:vAlign w:val="center"/>
          </w:tcPr>
          <w:p>
            <w:pPr>
              <w:pBdr/>
              <w:ind/>
              <w:jc w:val="center"/>
            </w:pPr>
            <w:r>
              <w:rPr>
                <w:sz w:val="24"/>
                <w:u w:color="auto"/>
              </w:rPr>
              <w:t>PU010</w:t>
            </w:r>
            <w:r>
              <w:rPr>
                <w:u/>
              </w:rPr>
            </w:r>
          </w:p>
        </w:tc>
        <w:tc>
          <w:tcPr>
            <w:tcW w:w="1012" w:type="dxa"/>
            <w:vMerge w:val="continue"/>
            <w:vAlign w:val="center"/>
          </w:tcPr>
          <w:p>
            <w:pPr>
              <w:pBdr/>
              <w:ind/>
              <w:jc w:val="center"/>
            </w:pPr>
            <w:r>
              <w:rPr>
                <w:sz w:val="24"/>
                <w:u w:color="auto"/>
              </w:rPr>
              <w:t>二级精馏→脱焦→结晶→母液分离</w:t>
            </w:r>
            <w:r>
              <w:rPr>
                <w:u/>
              </w:rPr>
            </w:r>
          </w:p>
        </w:tc>
        <w:tc>
          <w:tcPr>
            <w:tcW w:w="1012" w:type="dxa"/>
            <w:vMerge w:val="continue"/>
            <w:vAlign w:val="center"/>
          </w:tcPr>
          <w:p>
            <w:pPr>
              <w:pBdr/>
              <w:ind/>
              <w:jc w:val="center"/>
            </w:pPr>
            <w:r>
              <w:rPr>
                <w:sz w:val="24"/>
                <w:u w:color="auto"/>
              </w:rPr>
              <w:t>蒸馏（精馏)</w:t>
            </w:r>
            <w:r>
              <w:rPr>
                <w:u/>
              </w:rPr>
            </w:r>
          </w:p>
        </w:tc>
        <w:tc>
          <w:tcPr>
            <w:tcW w:w="1012" w:type="dxa"/>
            <w:vMerge w:val="continue"/>
            <w:vAlign w:val="center"/>
          </w:tcPr>
          <w:p>
            <w:pPr>
              <w:pBdr/>
              <w:ind/>
              <w:jc w:val="center"/>
            </w:pPr>
            <w:r>
              <w:rPr>
                <w:sz w:val="24"/>
                <w:u w:color="auto"/>
              </w:rPr>
              <w:t>3000</w:t>
            </w:r>
            <w:r>
              <w:rPr>
                <w:u/>
              </w:rPr>
            </w:r>
          </w:p>
        </w:tc>
        <w:tc>
          <w:tcPr>
            <w:tcW w:w="1012" w:type="dxa"/>
            <w:vMerge w:val="continue"/>
            <w:vAlign w:val="center"/>
          </w:tcPr>
          <w:p>
            <w:pPr>
              <w:pBdr/>
              <w:ind/>
              <w:jc w:val="center"/>
            </w:pPr>
            <w:r>
              <w:rPr>
                <w:sz w:val="24"/>
                <w:u w:color="auto"/>
              </w:rPr>
              <w:t>吨</w:t>
            </w:r>
            <w:r>
              <w:rPr>
                <w:u/>
              </w:rPr>
            </w:r>
          </w:p>
        </w:tc>
        <w:tc>
          <w:tcPr>
            <w:tcW w:w="1012" w:type="dxa"/>
            <w:vMerge w:val="continue"/>
            <w:vAlign w:val="center"/>
          </w:tcPr>
          <w:p>
            <w:pPr>
              <w:pBdr/>
              <w:ind/>
              <w:jc w:val="center"/>
            </w:pPr>
            <w:r>
              <w:rPr>
                <w:sz w:val="24"/>
                <w:u w:color="auto"/>
              </w:rPr>
              <w:t>最终产品</w:t>
            </w:r>
            <w:r>
              <w:rPr>
                <w:u/>
              </w:rPr>
            </w:r>
          </w:p>
        </w:tc>
        <w:tc>
          <w:tcPr>
            <w:tcW w:w="1012" w:type="dxa"/>
            <w:vMerge w:val="continue"/>
            <w:vAlign w:val="center"/>
          </w:tcPr>
          <w:p>
            <w:pPr>
              <w:pBdr/>
              <w:ind/>
              <w:jc w:val="center"/>
            </w:pPr>
            <w:r>
              <w:rPr>
                <w:sz w:val="24"/>
                <w:u w:color="auto"/>
              </w:rPr>
              <w:t>邻二氯苯</w:t>
            </w:r>
            <w:r>
              <w:rPr>
                <w:u/>
              </w:rPr>
            </w:r>
          </w:p>
        </w:tc>
        <w:tc>
          <w:tcPr>
            <w:tcW w:w="1012" w:type="dxa"/>
            <w:vMerge w:val="continue"/>
            <w:vAlign w:val="center"/>
          </w:tcPr>
          <w:p>
            <w:pPr>
              <w:pBdr/>
              <w:ind/>
              <w:jc w:val="center"/>
            </w:pPr>
            <w:r>
              <w:rPr>
                <w:sz w:val="24"/>
                <w:u w:color="auto"/>
              </w:rPr>
              <w:t>1385.04</w:t>
            </w:r>
            <w:r>
              <w:rPr>
                <w:u/>
              </w:rPr>
            </w:r>
          </w:p>
        </w:tc>
        <w:tc>
          <w:tcPr>
            <w:tcW w:w="1012" w:type="dxa"/>
            <w:vMerge w:val="continue"/>
            <w:vAlign w:val="center"/>
          </w:tcPr>
          <w:p>
            <w:pPr>
              <w:pBdr/>
              <w:ind/>
              <w:jc w:val="center"/>
            </w:pPr>
            <w:r>
              <w:rPr>
                <w:sz w:val="24"/>
                <w:u w:color="auto"/>
              </w:rPr>
              <w:t>吨</w:t>
            </w:r>
            <w:r>
              <w:rPr>
                <w:u/>
              </w:rPr>
            </w:r>
          </w:p>
        </w:tc>
        <w:tc>
          <w:tcPr>
            <w:tcW w:w="1012" w:type="dxa"/>
            <w:vAlign w:val="center"/>
          </w:tcPr>
          <w:p>
            <w:pPr>
              <w:pBdr/>
              <w:ind/>
              <w:jc w:val="center"/>
            </w:pPr>
            <w:r>
              <w:rPr>
                <w:sz w:val="24"/>
                <w:u w:color="auto"/>
              </w:rPr>
              <w:t>辅料</w:t>
            </w:r>
            <w:r>
              <w:rPr>
                <w:u/>
              </w:rPr>
            </w:r>
          </w:p>
        </w:tc>
        <w:tc>
          <w:tcPr>
            <w:tcW w:w="1012" w:type="dxa"/>
            <w:vAlign w:val="center"/>
          </w:tcPr>
          <w:p>
            <w:pPr>
              <w:pBdr/>
              <w:ind/>
              <w:jc w:val="center"/>
            </w:pPr>
            <w:r>
              <w:rPr>
                <w:sz w:val="24"/>
                <w:u w:color="auto"/>
              </w:rPr>
              <w:t>氢氧化钠</w:t>
            </w:r>
            <w:r>
              <w:rPr>
                <w:u/>
              </w:rPr>
            </w:r>
          </w:p>
        </w:tc>
        <w:tc>
          <w:tcPr>
            <w:tcW w:w="1012" w:type="dxa"/>
            <w:vAlign w:val="center"/>
          </w:tcPr>
          <w:p>
            <w:pPr>
              <w:pBdr/>
              <w:ind/>
              <w:jc w:val="center"/>
            </w:pPr>
            <w:r>
              <w:rPr>
                <w:sz w:val="24"/>
                <w:u w:color="auto"/>
              </w:rPr>
              <w:t>32</w:t>
            </w:r>
            <w:r>
              <w:rPr>
                <w:u/>
              </w:rPr>
            </w:r>
          </w:p>
        </w:tc>
        <w:tc>
          <w:tcPr>
            <w:tcW w:w="1012" w:type="dxa"/>
            <w:vAlign w:val="center"/>
          </w:tcPr>
          <w:p>
            <w:pPr>
              <w:pBdr/>
              <w:ind/>
              <w:jc w:val="center"/>
            </w:pPr>
            <w:r>
              <w:rPr>
                <w:sz w:val="24"/>
                <w:u w:color="auto"/>
              </w:rPr>
              <w:t>吨</w:t>
            </w:r>
            <w:r>
              <w:rPr>
                <w:u/>
              </w:rPr>
            </w:r>
          </w:p>
        </w:tc>
      </w:tr>
      <w:tr>
        <w:trPr>
          <w:trHeight w:val="850" w:hRule="atLeast"/>
        </w:trPr>
        <w:tc>
          <w:tcPr>
            <w:tcW w:w="1012" w:type="dxa"/>
            <w:vMerge w:val="restart"/>
            <w:vAlign w:val="center"/>
          </w:tcPr>
          <w:p>
            <w:pPr>
              <w:pBdr/>
              <w:ind/>
              <w:jc w:val="center"/>
            </w:pPr>
            <w:r>
              <w:rPr>
                <w:sz w:val="24"/>
                <w:u w:color="auto"/>
              </w:rPr>
              <w:t>硝基酚衍生精细化学品生产装置</w:t>
            </w:r>
            <w:r>
              <w:rPr>
                <w:u/>
              </w:rPr>
            </w:r>
          </w:p>
        </w:tc>
        <w:tc>
          <w:tcPr>
            <w:tcW w:w="1012" w:type="dxa"/>
            <w:vMerge w:val="restart"/>
            <w:vAlign w:val="center"/>
          </w:tcPr>
          <w:p>
            <w:pPr>
              <w:pBdr/>
              <w:ind/>
              <w:jc w:val="center"/>
            </w:pPr>
            <w:r>
              <w:rPr>
                <w:sz w:val="24"/>
                <w:u w:color="auto"/>
              </w:rPr>
              <w:t>PU011</w:t>
            </w:r>
            <w:r>
              <w:rPr>
                <w:u/>
              </w:rPr>
            </w:r>
          </w:p>
        </w:tc>
        <w:tc>
          <w:tcPr>
            <w:tcW w:w="1012" w:type="dxa"/>
            <w:vMerge w:val="restart"/>
            <w:vAlign w:val="center"/>
          </w:tcPr>
          <w:p>
            <w:pPr>
              <w:pBdr/>
              <w:ind/>
              <w:jc w:val="center"/>
            </w:pPr>
            <w:r>
              <w:rPr>
                <w:sz w:val="24"/>
                <w:u w:color="auto"/>
              </w:rPr>
              <w:t>投料→Sqraup 反应→中和→离心→脱溶→蒸馏→结晶→干燥等工艺</w:t>
            </w:r>
            <w:r>
              <w:rPr>
                <w:u/>
              </w:rPr>
            </w:r>
          </w:p>
        </w:tc>
        <w:tc>
          <w:tcPr>
            <w:tcW w:w="1012" w:type="dxa"/>
            <w:vMerge w:val="restart"/>
            <w:vAlign w:val="center"/>
          </w:tcPr>
          <w:p>
            <w:pPr>
              <w:pBdr/>
              <w:ind/>
              <w:jc w:val="center"/>
            </w:pPr>
            <w:r>
              <w:rPr>
                <w:sz w:val="24"/>
                <w:u w:color="auto"/>
              </w:rPr>
              <w:t>Skraup 反应</w:t>
            </w:r>
            <w:r>
              <w:rPr>
                <w:u/>
              </w:rPr>
            </w:r>
          </w:p>
        </w:tc>
        <w:tc>
          <w:tcPr>
            <w:tcW w:w="1012" w:type="dxa"/>
            <w:vMerge w:val="restart"/>
            <w:vAlign w:val="center"/>
          </w:tcPr>
          <w:p>
            <w:pPr>
              <w:pBdr/>
              <w:ind/>
              <w:jc w:val="center"/>
            </w:pPr>
            <w:r>
              <w:rPr>
                <w:sz w:val="24"/>
                <w:u w:color="auto"/>
              </w:rPr>
              <w:t>1000</w:t>
            </w:r>
            <w:r>
              <w:rPr>
                <w:u/>
              </w:rPr>
            </w:r>
          </w:p>
        </w:tc>
        <w:tc>
          <w:tcPr>
            <w:tcW w:w="1012" w:type="dxa"/>
            <w:vMerge w:val="restart"/>
            <w:vAlign w:val="center"/>
          </w:tcPr>
          <w:p>
            <w:pPr>
              <w:pBdr/>
              <w:ind/>
              <w:jc w:val="center"/>
            </w:pPr>
            <w:r>
              <w:rPr>
                <w:sz w:val="24"/>
                <w:u w:color="auto"/>
              </w:rPr>
              <w:t>吨</w:t>
            </w:r>
            <w:r>
              <w:rPr>
                <w:u/>
              </w:rPr>
            </w:r>
          </w:p>
        </w:tc>
        <w:tc>
          <w:tcPr>
            <w:tcW w:w="1012" w:type="dxa"/>
            <w:vMerge w:val="restart"/>
            <w:vAlign w:val="center"/>
          </w:tcPr>
          <w:p>
            <w:pPr>
              <w:pBdr/>
              <w:ind/>
              <w:jc w:val="center"/>
            </w:pPr>
            <w:r>
              <w:rPr>
                <w:sz w:val="24"/>
                <w:u w:color="auto"/>
              </w:rPr>
              <w:t>最终产品</w:t>
            </w:r>
            <w:r>
              <w:rPr>
                <w:u/>
              </w:rPr>
            </w:r>
          </w:p>
        </w:tc>
        <w:tc>
          <w:tcPr>
            <w:tcW w:w="1012" w:type="dxa"/>
            <w:vMerge w:val="restart"/>
            <w:vAlign w:val="center"/>
          </w:tcPr>
          <w:p>
            <w:pPr>
              <w:pBdr/>
              <w:ind/>
              <w:jc w:val="center"/>
            </w:pPr>
            <w:r>
              <w:rPr>
                <w:sz w:val="24"/>
                <w:u w:color="auto"/>
              </w:rPr>
              <w:t>8-羟基喹啉</w:t>
            </w:r>
            <w:r>
              <w:rPr>
                <w:u/>
              </w:rPr>
            </w:r>
          </w:p>
        </w:tc>
        <w:tc>
          <w:tcPr>
            <w:tcW w:w="1012" w:type="dxa"/>
            <w:vMerge w:val="restart"/>
            <w:vAlign w:val="center"/>
          </w:tcPr>
          <w:p>
            <w:pPr>
              <w:pBdr/>
              <w:ind/>
              <w:jc w:val="center"/>
            </w:pPr>
            <w:r>
              <w:rPr>
                <w:sz w:val="24"/>
                <w:u w:color="auto"/>
              </w:rPr>
              <w:t>1000</w:t>
            </w:r>
            <w:r>
              <w:rPr>
                <w:u/>
              </w:rPr>
            </w:r>
          </w:p>
        </w:tc>
        <w:tc>
          <w:tcPr>
            <w:tcW w:w="1012" w:type="dxa"/>
            <w:vMerge w:val="restart"/>
            <w:vAlign w:val="center"/>
          </w:tcPr>
          <w:p>
            <w:pPr>
              <w:pBdr/>
              <w:ind/>
              <w:jc w:val="center"/>
            </w:pPr>
            <w:r>
              <w:rPr>
                <w:sz w:val="24"/>
                <w:u w:color="auto"/>
              </w:rPr>
              <w:t>吨</w:t>
            </w:r>
            <w:r>
              <w:rPr>
                <w:u/>
              </w:rPr>
            </w:r>
          </w:p>
        </w:tc>
        <w:tc>
          <w:tcPr>
            <w:tcW w:w="1012" w:type="dxa"/>
            <w:vAlign w:val="center"/>
          </w:tcPr>
          <w:p>
            <w:pPr>
              <w:pBdr/>
              <w:ind/>
              <w:jc w:val="center"/>
            </w:pPr>
            <w:r>
              <w:rPr>
                <w:sz w:val="24"/>
                <w:u w:color="auto"/>
              </w:rPr>
              <w:t>原料</w:t>
            </w:r>
            <w:r>
              <w:rPr>
                <w:u/>
              </w:rPr>
            </w:r>
          </w:p>
        </w:tc>
        <w:tc>
          <w:tcPr>
            <w:tcW w:w="1012" w:type="dxa"/>
            <w:vAlign w:val="center"/>
          </w:tcPr>
          <w:p>
            <w:pPr>
              <w:pBdr/>
              <w:ind/>
              <w:jc w:val="center"/>
            </w:pPr>
            <w:r>
              <w:rPr>
                <w:sz w:val="24"/>
                <w:u w:color="auto"/>
              </w:rPr>
              <w:t>邻氨基苯酚</w:t>
            </w:r>
            <w:r>
              <w:rPr>
                <w:u/>
              </w:rPr>
            </w:r>
          </w:p>
        </w:tc>
        <w:tc>
          <w:tcPr>
            <w:tcW w:w="1012" w:type="dxa"/>
            <w:vAlign w:val="center"/>
          </w:tcPr>
          <w:p>
            <w:pPr>
              <w:pBdr/>
              <w:ind/>
              <w:jc w:val="center"/>
            </w:pPr>
            <w:r>
              <w:rPr>
                <w:sz w:val="24"/>
                <w:u w:color="auto"/>
              </w:rPr>
              <w:t>597.37</w:t>
            </w:r>
            <w:r>
              <w:rPr>
                <w:u/>
              </w:rPr>
            </w:r>
          </w:p>
        </w:tc>
        <w:tc>
          <w:tcPr>
            <w:tcW w:w="1012" w:type="dxa"/>
            <w:vAlign w:val="center"/>
          </w:tcPr>
          <w:p>
            <w:pPr>
              <w:pBdr/>
              <w:ind/>
              <w:jc w:val="center"/>
            </w:pPr>
            <w:r>
              <w:rPr>
                <w:sz w:val="24"/>
                <w:u w:color="auto"/>
              </w:rPr>
              <w:t>吨</w:t>
            </w:r>
            <w:r>
              <w:rPr>
                <w:u/>
              </w:rPr>
            </w:r>
          </w:p>
        </w:tc>
      </w:tr>
      <w:tr>
        <w:trPr>
          <w:trHeight w:val="850" w:hRule="atLeast"/>
        </w:trPr>
        <w:tc>
          <w:tcPr>
            <w:tcW w:w="1012" w:type="dxa"/>
            <w:vMerge w:val="continue"/>
            <w:vAlign w:val="center"/>
          </w:tcPr>
          <w:p>
            <w:pPr>
              <w:pBdr/>
              <w:ind/>
              <w:jc w:val="center"/>
            </w:pPr>
            <w:r>
              <w:rPr>
                <w:sz w:val="24"/>
                <w:u w:color="auto"/>
              </w:rPr>
              <w:t>硝基酚衍生精细化学品生产装置</w:t>
            </w:r>
            <w:r>
              <w:rPr>
                <w:u/>
              </w:rPr>
            </w:r>
          </w:p>
        </w:tc>
        <w:tc>
          <w:tcPr>
            <w:tcW w:w="1012" w:type="dxa"/>
            <w:vMerge w:val="continue"/>
            <w:vAlign w:val="center"/>
          </w:tcPr>
          <w:p>
            <w:pPr>
              <w:pBdr/>
              <w:ind/>
              <w:jc w:val="center"/>
            </w:pPr>
            <w:r>
              <w:rPr>
                <w:sz w:val="24"/>
                <w:u w:color="auto"/>
              </w:rPr>
              <w:t>PU011</w:t>
            </w:r>
            <w:r>
              <w:rPr>
                <w:u/>
              </w:rPr>
            </w:r>
          </w:p>
        </w:tc>
        <w:tc>
          <w:tcPr>
            <w:tcW w:w="1012" w:type="dxa"/>
            <w:vMerge w:val="continue"/>
            <w:vAlign w:val="center"/>
          </w:tcPr>
          <w:p>
            <w:pPr>
              <w:pBdr/>
              <w:ind/>
              <w:jc w:val="center"/>
            </w:pPr>
            <w:r>
              <w:rPr>
                <w:sz w:val="24"/>
                <w:u w:color="auto"/>
              </w:rPr>
              <w:t>投料→Sqraup 反应→中和→离心→脱溶→蒸馏→结晶→干燥等工艺</w:t>
            </w:r>
            <w:r>
              <w:rPr>
                <w:u/>
              </w:rPr>
            </w:r>
          </w:p>
        </w:tc>
        <w:tc>
          <w:tcPr>
            <w:tcW w:w="1012" w:type="dxa"/>
            <w:vMerge w:val="continue"/>
            <w:vAlign w:val="center"/>
          </w:tcPr>
          <w:p>
            <w:pPr>
              <w:pBdr/>
              <w:ind/>
              <w:jc w:val="center"/>
            </w:pPr>
            <w:r>
              <w:rPr>
                <w:sz w:val="24"/>
                <w:u w:color="auto"/>
              </w:rPr>
              <w:t>Skraup 反应</w:t>
            </w:r>
            <w:r>
              <w:rPr>
                <w:u/>
              </w:rPr>
            </w:r>
          </w:p>
        </w:tc>
        <w:tc>
          <w:tcPr>
            <w:tcW w:w="1012" w:type="dxa"/>
            <w:vMerge w:val="continue"/>
            <w:vAlign w:val="center"/>
          </w:tcPr>
          <w:p>
            <w:pPr>
              <w:pBdr/>
              <w:ind/>
              <w:jc w:val="center"/>
            </w:pPr>
            <w:r>
              <w:rPr>
                <w:sz w:val="24"/>
                <w:u w:color="auto"/>
              </w:rPr>
              <w:t>1000</w:t>
            </w:r>
            <w:r>
              <w:rPr>
                <w:u/>
              </w:rPr>
            </w:r>
          </w:p>
        </w:tc>
        <w:tc>
          <w:tcPr>
            <w:tcW w:w="1012" w:type="dxa"/>
            <w:vMerge w:val="continue"/>
            <w:vAlign w:val="center"/>
          </w:tcPr>
          <w:p>
            <w:pPr>
              <w:pBdr/>
              <w:ind/>
              <w:jc w:val="center"/>
            </w:pPr>
            <w:r>
              <w:rPr>
                <w:sz w:val="24"/>
                <w:u w:color="auto"/>
              </w:rPr>
              <w:t>吨</w:t>
            </w:r>
            <w:r>
              <w:rPr>
                <w:u/>
              </w:rPr>
            </w:r>
          </w:p>
        </w:tc>
        <w:tc>
          <w:tcPr>
            <w:tcW w:w="1012" w:type="dxa"/>
            <w:vMerge w:val="continue"/>
            <w:vAlign w:val="center"/>
          </w:tcPr>
          <w:p>
            <w:pPr>
              <w:pBdr/>
              <w:ind/>
              <w:jc w:val="center"/>
            </w:pPr>
            <w:r>
              <w:rPr>
                <w:sz w:val="24"/>
                <w:u w:color="auto"/>
              </w:rPr>
              <w:t>最终产品</w:t>
            </w:r>
            <w:r>
              <w:rPr>
                <w:u/>
              </w:rPr>
            </w:r>
          </w:p>
        </w:tc>
        <w:tc>
          <w:tcPr>
            <w:tcW w:w="1012" w:type="dxa"/>
            <w:vMerge w:val="continue"/>
            <w:vAlign w:val="center"/>
          </w:tcPr>
          <w:p>
            <w:pPr>
              <w:pBdr/>
              <w:ind/>
              <w:jc w:val="center"/>
            </w:pPr>
            <w:r>
              <w:rPr>
                <w:sz w:val="24"/>
                <w:u w:color="auto"/>
              </w:rPr>
              <w:t>8-羟基喹啉</w:t>
            </w:r>
            <w:r>
              <w:rPr>
                <w:u/>
              </w:rPr>
            </w:r>
          </w:p>
        </w:tc>
        <w:tc>
          <w:tcPr>
            <w:tcW w:w="1012" w:type="dxa"/>
            <w:vMerge w:val="continue"/>
            <w:vAlign w:val="center"/>
          </w:tcPr>
          <w:p>
            <w:pPr>
              <w:pBdr/>
              <w:ind/>
              <w:jc w:val="center"/>
            </w:pPr>
            <w:r>
              <w:rPr>
                <w:sz w:val="24"/>
                <w:u w:color="auto"/>
              </w:rPr>
              <w:t>1000</w:t>
            </w:r>
            <w:r>
              <w:rPr>
                <w:u/>
              </w:rPr>
            </w:r>
          </w:p>
        </w:tc>
        <w:tc>
          <w:tcPr>
            <w:tcW w:w="1012" w:type="dxa"/>
            <w:vMerge w:val="continue"/>
            <w:vAlign w:val="center"/>
          </w:tcPr>
          <w:p>
            <w:pPr>
              <w:pBdr/>
              <w:ind/>
              <w:jc w:val="center"/>
            </w:pPr>
            <w:r>
              <w:rPr>
                <w:sz w:val="24"/>
                <w:u w:color="auto"/>
              </w:rPr>
              <w:t>吨</w:t>
            </w:r>
            <w:r>
              <w:rPr>
                <w:u/>
              </w:rPr>
            </w:r>
          </w:p>
        </w:tc>
        <w:tc>
          <w:tcPr>
            <w:tcW w:w="1012" w:type="dxa"/>
            <w:vAlign w:val="center"/>
          </w:tcPr>
          <w:p>
            <w:pPr>
              <w:pBdr/>
              <w:ind/>
              <w:jc w:val="center"/>
            </w:pPr>
            <w:r>
              <w:rPr>
                <w:sz w:val="24"/>
                <w:u w:color="auto"/>
              </w:rPr>
              <w:t>原料</w:t>
            </w:r>
            <w:r>
              <w:rPr>
                <w:u/>
              </w:rPr>
            </w:r>
          </w:p>
        </w:tc>
        <w:tc>
          <w:tcPr>
            <w:tcW w:w="1012" w:type="dxa"/>
            <w:vAlign w:val="center"/>
          </w:tcPr>
          <w:p>
            <w:pPr>
              <w:pBdr/>
              <w:ind/>
              <w:jc w:val="center"/>
            </w:pPr>
            <w:r>
              <w:rPr>
                <w:sz w:val="24"/>
                <w:u w:color="auto"/>
              </w:rPr>
              <w:t>邻硝基苯酚</w:t>
            </w:r>
            <w:r>
              <w:rPr>
                <w:u/>
              </w:rPr>
            </w:r>
          </w:p>
        </w:tc>
        <w:tc>
          <w:tcPr>
            <w:tcW w:w="1012" w:type="dxa"/>
            <w:vAlign w:val="center"/>
          </w:tcPr>
          <w:p>
            <w:pPr>
              <w:pBdr/>
              <w:ind/>
              <w:jc w:val="center"/>
            </w:pPr>
            <w:r>
              <w:rPr>
                <w:sz w:val="24"/>
                <w:u w:color="auto"/>
              </w:rPr>
              <w:t>390.10</w:t>
            </w:r>
            <w:r>
              <w:rPr>
                <w:u/>
              </w:rPr>
            </w:r>
          </w:p>
        </w:tc>
        <w:tc>
          <w:tcPr>
            <w:tcW w:w="1012" w:type="dxa"/>
            <w:vAlign w:val="center"/>
          </w:tcPr>
          <w:p>
            <w:pPr>
              <w:pBdr/>
              <w:ind/>
              <w:jc w:val="center"/>
            </w:pPr>
            <w:r>
              <w:rPr>
                <w:sz w:val="24"/>
                <w:u w:color="auto"/>
              </w:rPr>
              <w:t>吨</w:t>
            </w:r>
            <w:r>
              <w:rPr>
                <w:u/>
              </w:rPr>
            </w:r>
          </w:p>
        </w:tc>
      </w:tr>
      <w:tr>
        <w:trPr>
          <w:trHeight w:val="850" w:hRule="atLeast"/>
        </w:trPr>
        <w:tc>
          <w:tcPr>
            <w:tcW w:w="1012" w:type="dxa"/>
            <w:vMerge w:val="continue"/>
            <w:vAlign w:val="center"/>
          </w:tcPr>
          <w:p>
            <w:pPr>
              <w:pBdr/>
              <w:ind/>
              <w:jc w:val="center"/>
            </w:pPr>
            <w:r>
              <w:rPr>
                <w:sz w:val="24"/>
                <w:u w:color="auto"/>
              </w:rPr>
              <w:t>硝基酚衍生精细化学品生产装置</w:t>
            </w:r>
            <w:r>
              <w:rPr>
                <w:u/>
              </w:rPr>
            </w:r>
          </w:p>
        </w:tc>
        <w:tc>
          <w:tcPr>
            <w:tcW w:w="1012" w:type="dxa"/>
            <w:vMerge w:val="continue"/>
            <w:vAlign w:val="center"/>
          </w:tcPr>
          <w:p>
            <w:pPr>
              <w:pBdr/>
              <w:ind/>
              <w:jc w:val="center"/>
            </w:pPr>
            <w:r>
              <w:rPr>
                <w:sz w:val="24"/>
                <w:u w:color="auto"/>
              </w:rPr>
              <w:t>PU011</w:t>
            </w:r>
            <w:r>
              <w:rPr>
                <w:u/>
              </w:rPr>
            </w:r>
          </w:p>
        </w:tc>
        <w:tc>
          <w:tcPr>
            <w:tcW w:w="1012" w:type="dxa"/>
            <w:vMerge w:val="continue"/>
            <w:vAlign w:val="center"/>
          </w:tcPr>
          <w:p>
            <w:pPr>
              <w:pBdr/>
              <w:ind/>
              <w:jc w:val="center"/>
            </w:pPr>
            <w:r>
              <w:rPr>
                <w:sz w:val="24"/>
                <w:u w:color="auto"/>
              </w:rPr>
              <w:t>投料→Sqraup 反应→中和→离心→脱溶→蒸馏→结晶→干燥等工艺</w:t>
            </w:r>
            <w:r>
              <w:rPr>
                <w:u/>
              </w:rPr>
            </w:r>
          </w:p>
        </w:tc>
        <w:tc>
          <w:tcPr>
            <w:tcW w:w="1012" w:type="dxa"/>
            <w:vMerge w:val="continue"/>
            <w:vAlign w:val="center"/>
          </w:tcPr>
          <w:p>
            <w:pPr>
              <w:pBdr/>
              <w:ind/>
              <w:jc w:val="center"/>
            </w:pPr>
            <w:r>
              <w:rPr>
                <w:sz w:val="24"/>
                <w:u w:color="auto"/>
              </w:rPr>
              <w:t>Skraup 反应</w:t>
            </w:r>
            <w:r>
              <w:rPr>
                <w:u/>
              </w:rPr>
            </w:r>
          </w:p>
        </w:tc>
        <w:tc>
          <w:tcPr>
            <w:tcW w:w="1012" w:type="dxa"/>
            <w:vMerge w:val="continue"/>
            <w:vAlign w:val="center"/>
          </w:tcPr>
          <w:p>
            <w:pPr>
              <w:pBdr/>
              <w:ind/>
              <w:jc w:val="center"/>
            </w:pPr>
            <w:r>
              <w:rPr>
                <w:sz w:val="24"/>
                <w:u w:color="auto"/>
              </w:rPr>
              <w:t>1000</w:t>
            </w:r>
            <w:r>
              <w:rPr>
                <w:u/>
              </w:rPr>
            </w:r>
          </w:p>
        </w:tc>
        <w:tc>
          <w:tcPr>
            <w:tcW w:w="1012" w:type="dxa"/>
            <w:vMerge w:val="continue"/>
            <w:vAlign w:val="center"/>
          </w:tcPr>
          <w:p>
            <w:pPr>
              <w:pBdr/>
              <w:ind/>
              <w:jc w:val="center"/>
            </w:pPr>
            <w:r>
              <w:rPr>
                <w:sz w:val="24"/>
                <w:u w:color="auto"/>
              </w:rPr>
              <w:t>吨</w:t>
            </w:r>
            <w:r>
              <w:rPr>
                <w:u/>
              </w:rPr>
            </w:r>
          </w:p>
        </w:tc>
        <w:tc>
          <w:tcPr>
            <w:tcW w:w="1012" w:type="dxa"/>
            <w:vMerge w:val="continue"/>
            <w:vAlign w:val="center"/>
          </w:tcPr>
          <w:p>
            <w:pPr>
              <w:pBdr/>
              <w:ind/>
              <w:jc w:val="center"/>
            </w:pPr>
            <w:r>
              <w:rPr>
                <w:sz w:val="24"/>
                <w:u w:color="auto"/>
              </w:rPr>
              <w:t>最终产品</w:t>
            </w:r>
            <w:r>
              <w:rPr>
                <w:u/>
              </w:rPr>
            </w:r>
          </w:p>
        </w:tc>
        <w:tc>
          <w:tcPr>
            <w:tcW w:w="1012" w:type="dxa"/>
            <w:vMerge w:val="continue"/>
            <w:vAlign w:val="center"/>
          </w:tcPr>
          <w:p>
            <w:pPr>
              <w:pBdr/>
              <w:ind/>
              <w:jc w:val="center"/>
            </w:pPr>
            <w:r>
              <w:rPr>
                <w:sz w:val="24"/>
                <w:u w:color="auto"/>
              </w:rPr>
              <w:t>8-羟基喹啉</w:t>
            </w:r>
            <w:r>
              <w:rPr>
                <w:u/>
              </w:rPr>
            </w:r>
          </w:p>
        </w:tc>
        <w:tc>
          <w:tcPr>
            <w:tcW w:w="1012" w:type="dxa"/>
            <w:vMerge w:val="continue"/>
            <w:vAlign w:val="center"/>
          </w:tcPr>
          <w:p>
            <w:pPr>
              <w:pBdr/>
              <w:ind/>
              <w:jc w:val="center"/>
            </w:pPr>
            <w:r>
              <w:rPr>
                <w:sz w:val="24"/>
                <w:u w:color="auto"/>
              </w:rPr>
              <w:t>1000</w:t>
            </w:r>
            <w:r>
              <w:rPr>
                <w:u/>
              </w:rPr>
            </w:r>
          </w:p>
        </w:tc>
        <w:tc>
          <w:tcPr>
            <w:tcW w:w="1012" w:type="dxa"/>
            <w:vMerge w:val="continue"/>
            <w:vAlign w:val="center"/>
          </w:tcPr>
          <w:p>
            <w:pPr>
              <w:pBdr/>
              <w:ind/>
              <w:jc w:val="center"/>
            </w:pPr>
            <w:r>
              <w:rPr>
                <w:sz w:val="24"/>
                <w:u w:color="auto"/>
              </w:rPr>
              <w:t>吨</w:t>
            </w:r>
            <w:r>
              <w:rPr>
                <w:u/>
              </w:rPr>
            </w:r>
          </w:p>
        </w:tc>
        <w:tc>
          <w:tcPr>
            <w:tcW w:w="1012" w:type="dxa"/>
            <w:vAlign w:val="center"/>
          </w:tcPr>
          <w:p>
            <w:pPr>
              <w:pBdr/>
              <w:ind/>
              <w:jc w:val="center"/>
            </w:pPr>
            <w:r>
              <w:rPr>
                <w:sz w:val="24"/>
                <w:u w:color="auto"/>
              </w:rPr>
              <w:t>辅料</w:t>
            </w:r>
            <w:r>
              <w:rPr>
                <w:u/>
              </w:rPr>
            </w:r>
          </w:p>
        </w:tc>
        <w:tc>
          <w:tcPr>
            <w:tcW w:w="1012" w:type="dxa"/>
            <w:vAlign w:val="center"/>
          </w:tcPr>
          <w:p>
            <w:pPr>
              <w:pBdr/>
              <w:ind/>
              <w:jc w:val="center"/>
            </w:pPr>
            <w:r>
              <w:rPr>
                <w:sz w:val="24"/>
                <w:u w:color="auto"/>
              </w:rPr>
              <w:t>氢氧化钠溶 液</w:t>
            </w:r>
            <w:r>
              <w:rPr>
                <w:u/>
              </w:rPr>
            </w:r>
          </w:p>
        </w:tc>
        <w:tc>
          <w:tcPr>
            <w:tcW w:w="1012" w:type="dxa"/>
            <w:vAlign w:val="center"/>
          </w:tcPr>
          <w:p>
            <w:pPr>
              <w:pBdr/>
              <w:ind/>
              <w:jc w:val="center"/>
            </w:pPr>
            <w:r>
              <w:rPr>
                <w:sz w:val="24"/>
                <w:u w:color="auto"/>
              </w:rPr>
              <w:t>1.25</w:t>
            </w:r>
            <w:r>
              <w:rPr>
                <w:u/>
              </w:rPr>
            </w:r>
          </w:p>
        </w:tc>
        <w:tc>
          <w:tcPr>
            <w:tcW w:w="1012" w:type="dxa"/>
            <w:vAlign w:val="center"/>
          </w:tcPr>
          <w:p>
            <w:pPr>
              <w:pBdr/>
              <w:ind/>
              <w:jc w:val="center"/>
            </w:pPr>
            <w:r>
              <w:rPr>
                <w:sz w:val="24"/>
                <w:u w:color="auto"/>
              </w:rPr>
              <w:t>吨</w:t>
            </w:r>
            <w:r>
              <w:rPr>
                <w:u/>
              </w:rPr>
            </w:r>
          </w:p>
        </w:tc>
      </w:tr>
    </w:tbl>
    <w:p>
      <w:pPr>
        <w:keepNext w:val="0"/>
        <w:keepLines w:val="0"/>
        <w:pageBreakBefore w:val="0"/>
        <w:widowControl w:val="0"/>
        <w:kinsoku/>
        <w:wordWrap/>
        <w:overflowPunct/>
        <w:topLinePunct w:val="0"/>
        <w:autoSpaceDE/>
        <w:autoSpaceDN/>
        <w:bidi w:val="0"/>
        <w:adjustRightInd/>
        <w:snapToGrid/>
        <w:textAlignment w:val="auto"/>
        <w:rPr>
          <w:rFonts w:ascii="黑体" w:hAnsi="黑体" w:eastAsia="黑体" w:cs="黑体"/>
          <w:spacing w:val="-6"/>
          <w:sz w:val="30"/>
          <w:szCs w:val="30"/>
        </w:rPr>
      </w:pPr>
      <w:r>
        <w:rPr>
          <w:rFonts w:ascii="黑体" w:hAnsi="黑体" w:eastAsia="黑体" w:cs="黑体"/>
          <w:spacing w:val="-6"/>
          <w:sz w:val="30"/>
          <w:szCs w:val="30"/>
        </w:rPr>
        <w:br w:type="page"/>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sz w:val="13"/>
          <w:szCs w:val="13"/>
          <w:lang w:val="en-US" w:eastAsia="zh-CN"/>
        </w:rPr>
        <w:tab/>
      </w:r>
      <w:r>
        <w:rPr>
          <w:rFonts w:hint="eastAsia"/>
          <w:sz w:val="13"/>
          <w:szCs w:val="13"/>
          <w:lang w:val="en-US" w:eastAsia="zh-CN"/>
        </w:rPr>
        <w:tab/>
      </w:r>
      <w:r>
        <w:rPr>
          <w:rFonts w:hint="eastAsia"/>
          <w:sz w:val="13"/>
          <w:szCs w:val="13"/>
          <w:lang w:val="en-US" w:eastAsia="zh-CN"/>
        </w:rPr>
        <w:tab/>
      </w:r>
      <w:r>
        <w:rPr>
          <w:rFonts w:hint="eastAsia"/>
          <w:sz w:val="13"/>
          <w:szCs w:val="13"/>
          <w:lang w:val="en-US" w:eastAsia="zh-CN"/>
        </w:rPr>
        <w:tab/>
      </w:r>
      <w:r>
        <w:rPr>
          <w:rFonts w:hint="eastAsia"/>
          <w:sz w:val="13"/>
          <w:szCs w:val="13"/>
          <w:lang w:val="en-US" w:eastAsia="zh-CN"/>
        </w:rPr>
        <w:tab/>
      </w:r>
      <w:r>
        <w:rPr>
          <w:rFonts w:hint="eastAsia"/>
          <w:sz w:val="13"/>
          <w:szCs w:val="13"/>
          <w:lang w:val="en-US" w:eastAsia="zh-CN"/>
        </w:rPr>
        <w:tab/>
      </w:r>
      <w:r>
        <w:rPr>
          <w:rFonts w:hint="eastAsia"/>
          <w:sz w:val="13"/>
          <w:szCs w:val="13"/>
          <w:lang w:val="en-US" w:eastAsia="zh-CN"/>
        </w:rPr>
        <w:tab/>
      </w:r>
      <w:r>
        <w:rPr>
          <w:rFonts w:hint="eastAsia"/>
          <w:sz w:val="13"/>
          <w:szCs w:val="13"/>
          <w:lang w:val="en-US" w:eastAsia="zh-CN"/>
        </w:rPr>
        <w:tab/>
      </w:r>
      <w:r>
        <w:rPr>
          <w:rFonts w:hint="eastAsia"/>
          <w:sz w:val="13"/>
          <w:szCs w:val="13"/>
          <w:lang w:val="en-US" w:eastAsia="zh-CN"/>
        </w:rPr>
        <w:tab/>
      </w:r>
      <w:r>
        <w:rPr>
          <w:rFonts w:hint="eastAsia"/>
          <w:sz w:val="13"/>
          <w:szCs w:val="13"/>
          <w:lang w:val="en-US" w:eastAsia="zh-CN"/>
        </w:rPr>
        <w:tab/>
      </w:r>
      <w:r>
        <w:rPr>
          <w:rFonts w:hint="eastAsia"/>
          <w:sz w:val="13"/>
          <w:szCs w:val="13"/>
          <w:lang w:val="en-US" w:eastAsia="zh-CN"/>
        </w:rPr>
        <w:tab/>
      </w:r>
      <w:r>
        <w:rPr>
          <w:rFonts w:hint="eastAsia"/>
          <w:sz w:val="13"/>
          <w:szCs w:val="13"/>
          <w:lang w:val="en-US" w:eastAsia="zh-CN"/>
        </w:rPr>
        <w:t xml:space="preserve">       </w:t>
      </w:r>
      <w:r>
        <w:rPr>
          <w:rFonts w:ascii="黑体" w:hAnsi="黑体" w:eastAsia="黑体" w:cs="黑体"/>
          <w:spacing w:val="-8"/>
          <w:sz w:val="30"/>
          <w:szCs w:val="30"/>
        </w:rPr>
        <w:t>表</w:t>
      </w:r>
      <w:r>
        <w:rPr>
          <w:rFonts w:hint="eastAsia" w:ascii="黑体" w:hAnsi="黑体" w:eastAsia="黑体" w:cs="黑体"/>
          <w:spacing w:val="-8"/>
          <w:sz w:val="30"/>
          <w:szCs w:val="30"/>
          <w:lang w:val="en-US" w:eastAsia="zh-CN"/>
        </w:rPr>
        <w:t>3</w:t>
      </w:r>
      <w:r>
        <w:rPr>
          <w:rFonts w:ascii="黑体" w:hAnsi="黑体" w:eastAsia="黑体" w:cs="黑体"/>
          <w:spacing w:val="-4"/>
          <w:sz w:val="30"/>
          <w:szCs w:val="30"/>
        </w:rPr>
        <w:t xml:space="preserve">  </w:t>
      </w:r>
      <w:r>
        <w:rPr>
          <w:rFonts w:hint="eastAsia" w:ascii="黑体" w:hAnsi="黑体" w:eastAsia="黑体" w:cs="黑体"/>
          <w:spacing w:val="-4"/>
          <w:sz w:val="30"/>
          <w:szCs w:val="30"/>
          <w:lang w:val="en-US" w:eastAsia="zh-CN"/>
        </w:rPr>
        <w:t>污染防治设施</w:t>
      </w:r>
      <w:r>
        <w:rPr>
          <w:rFonts w:ascii="黑体" w:hAnsi="黑体" w:eastAsia="黑体" w:cs="黑体"/>
          <w:spacing w:val="-4"/>
          <w:sz w:val="30"/>
          <w:szCs w:val="30"/>
        </w:rPr>
        <w:t>信息表</w:t>
      </w:r>
    </w:p>
    <w:tbl>
      <w:tblPr>
        <w:tblW w:w="14428" w:type="dxa"/>
        <w:tblInd w:type="dxa" w:w="0"/>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type="dxa" w:w="107"/>
          <w:right w:type="dxa" w:w="107"/>
        </w:tblCellMar>
      </w:tblPr>
      <w:tblGrid>
        <w:gridCol w:w="1803"/>
        <w:gridCol w:w="1803"/>
        <w:gridCol w:w="1803"/>
        <w:gridCol w:w="1803"/>
        <w:gridCol w:w="1803"/>
        <w:gridCol w:w="1803"/>
        <w:gridCol w:w="1803"/>
        <w:gridCol w:w="1803"/>
      </w:tblGrid>
      <w:tr>
        <w:trPr>
          <w:trHeight w:val="850" w:hRule="exact"/>
        </w:trPr>
        <w:tc>
          <w:tcPr>
            <w:tcW w:w="1803" w:type="dxa"/>
            <w:vAlign w:val="center"/>
          </w:tcPr>
          <w:p>
            <w:pPr>
              <w:pBdr/>
              <w:ind/>
              <w:jc w:val="center"/>
            </w:pPr>
            <w:r>
              <w:rPr>
                <w:rFonts w:eastAsia="Hei" w:ascii="Hei" w:hAnsi="Hei" w:cs="Hei"/>
                <w:b w:val="true"/>
                <w:sz w:val="24"/>
                <w:u w:color="auto"/>
              </w:rPr>
              <w:t>设施名称</w:t>
            </w:r>
            <w:r>
              <w:rPr>
                <w:u/>
              </w:rPr>
            </w:r>
          </w:p>
        </w:tc>
        <w:tc>
          <w:tcPr>
            <w:tcW w:w="1803" w:type="dxa"/>
            <w:vAlign w:val="center"/>
          </w:tcPr>
          <w:p>
            <w:pPr>
              <w:pBdr/>
              <w:ind/>
              <w:jc w:val="center"/>
            </w:pPr>
            <w:r>
              <w:rPr>
                <w:rFonts w:eastAsia="Hei" w:ascii="Hei" w:hAnsi="Hei" w:cs="Hei"/>
                <w:b w:val="true"/>
                <w:sz w:val="24"/>
                <w:u w:color="auto"/>
              </w:rPr>
              <w:t>编码</w:t>
            </w:r>
            <w:r>
              <w:rPr>
                <w:u/>
              </w:rPr>
            </w:r>
          </w:p>
        </w:tc>
        <w:tc>
          <w:tcPr>
            <w:tcW w:w="1803" w:type="dxa"/>
            <w:vAlign w:val="center"/>
          </w:tcPr>
          <w:p>
            <w:pPr>
              <w:pBdr/>
              <w:ind/>
              <w:jc w:val="center"/>
            </w:pPr>
            <w:r>
              <w:rPr>
                <w:rFonts w:eastAsia="Hei" w:ascii="Hei" w:hAnsi="Hei" w:cs="Hei"/>
                <w:b w:val="true"/>
                <w:sz w:val="24"/>
                <w:u w:color="auto"/>
              </w:rPr>
              <w:t>类型</w:t>
            </w:r>
            <w:r>
              <w:rPr>
                <w:u/>
              </w:rPr>
            </w:r>
          </w:p>
        </w:tc>
        <w:tc>
          <w:tcPr>
            <w:tcW w:w="1803" w:type="dxa"/>
            <w:vAlign w:val="center"/>
          </w:tcPr>
          <w:p>
            <w:pPr>
              <w:pBdr/>
              <w:ind/>
              <w:jc w:val="center"/>
            </w:pPr>
            <w:r>
              <w:rPr>
                <w:rFonts w:eastAsia="Hei" w:ascii="Hei" w:hAnsi="Hei" w:cs="Hei"/>
                <w:b w:val="true"/>
                <w:sz w:val="24"/>
                <w:u w:color="auto"/>
              </w:rPr>
              <w:t>设计能力</w:t>
            </w:r>
            <w:r>
              <w:rPr>
                <w:u/>
              </w:rPr>
            </w:r>
          </w:p>
        </w:tc>
        <w:tc>
          <w:tcPr>
            <w:tcW w:w="1803" w:type="dxa"/>
            <w:vAlign w:val="center"/>
          </w:tcPr>
          <w:p>
            <w:pPr>
              <w:pBdr/>
              <w:ind/>
              <w:jc w:val="center"/>
            </w:pPr>
            <w:r>
              <w:rPr>
                <w:rFonts w:eastAsia="Hei" w:ascii="Hei" w:hAnsi="Hei" w:cs="Hei"/>
                <w:b w:val="true"/>
                <w:sz w:val="24"/>
                <w:u w:color="auto"/>
              </w:rPr>
              <w:t>计量单位</w:t>
            </w:r>
            <w:r>
              <w:rPr>
                <w:u/>
              </w:rPr>
            </w:r>
          </w:p>
        </w:tc>
        <w:tc>
          <w:tcPr>
            <w:tcW w:w="1803" w:type="dxa"/>
            <w:vAlign w:val="center"/>
          </w:tcPr>
          <w:p>
            <w:pPr>
              <w:pBdr/>
              <w:ind/>
              <w:jc w:val="center"/>
            </w:pPr>
            <w:r>
              <w:rPr>
                <w:rFonts w:eastAsia="Hei" w:ascii="Hei" w:hAnsi="Hei" w:cs="Hei"/>
                <w:b w:val="true"/>
                <w:sz w:val="24"/>
                <w:u w:color="auto"/>
              </w:rPr>
              <w:t>参数名称</w:t>
            </w:r>
            <w:r>
              <w:rPr>
                <w:u/>
              </w:rPr>
            </w:r>
          </w:p>
        </w:tc>
        <w:tc>
          <w:tcPr>
            <w:tcW w:w="1803" w:type="dxa"/>
            <w:vAlign w:val="center"/>
          </w:tcPr>
          <w:p>
            <w:pPr>
              <w:pBdr/>
              <w:ind/>
              <w:jc w:val="center"/>
            </w:pPr>
            <w:r>
              <w:rPr>
                <w:rFonts w:eastAsia="Hei" w:ascii="Hei" w:hAnsi="Hei" w:cs="Hei"/>
                <w:b w:val="true"/>
                <w:sz w:val="24"/>
                <w:u w:color="auto"/>
              </w:rPr>
              <w:t>设计值</w:t>
            </w:r>
            <w:r>
              <w:rPr>
                <w:u/>
              </w:rPr>
            </w:r>
          </w:p>
        </w:tc>
        <w:tc>
          <w:tcPr>
            <w:tcW w:w="1803" w:type="dxa"/>
            <w:vAlign w:val="center"/>
          </w:tcPr>
          <w:p>
            <w:pPr>
              <w:pBdr/>
              <w:ind/>
              <w:jc w:val="center"/>
            </w:pPr>
            <w:r>
              <w:rPr>
                <w:rFonts w:eastAsia="Hei" w:ascii="Hei" w:hAnsi="Hei" w:cs="Hei"/>
                <w:b w:val="true"/>
                <w:sz w:val="24"/>
                <w:u w:color="auto"/>
              </w:rPr>
              <w:t>计量单位</w:t>
            </w:r>
            <w:r>
              <w:rPr>
                <w:u/>
              </w:rPr>
            </w:r>
          </w:p>
        </w:tc>
      </w:tr>
      <w:tr>
        <w:trPr>
          <w:trHeight w:val="850" w:hRule="atLeast"/>
        </w:trPr>
        <w:tc>
          <w:tcPr>
            <w:tcW w:w="1803" w:type="dxa"/>
            <w:vAlign w:val="center"/>
          </w:tcPr>
          <w:p>
            <w:pPr>
              <w:pBdr/>
              <w:ind/>
              <w:jc w:val="center"/>
            </w:pPr>
            <w:r>
              <w:rPr>
                <w:sz w:val="24"/>
                <w:u w:color="auto"/>
              </w:rPr>
              <w:t>废酸储罐</w:t>
            </w:r>
            <w:r>
              <w:rPr>
                <w:u/>
              </w:rPr>
            </w:r>
          </w:p>
        </w:tc>
        <w:tc>
          <w:tcPr>
            <w:tcW w:w="1803" w:type="dxa"/>
            <w:vAlign w:val="center"/>
          </w:tcPr>
          <w:p>
            <w:pPr>
              <w:pBdr/>
              <w:ind/>
              <w:jc w:val="center"/>
            </w:pPr>
            <w:r>
              <w:rPr>
                <w:sz w:val="24"/>
                <w:u w:color="auto"/>
              </w:rPr>
              <w:t>TS001</w:t>
            </w:r>
            <w:r>
              <w:rPr>
                <w:u/>
              </w:rPr>
            </w:r>
          </w:p>
        </w:tc>
        <w:tc>
          <w:tcPr>
            <w:tcW w:w="1803" w:type="dxa"/>
            <w:vAlign w:val="center"/>
          </w:tcPr>
          <w:p>
            <w:pPr>
              <w:pBdr/>
              <w:ind/>
              <w:jc w:val="center"/>
            </w:pPr>
            <w:r>
              <w:rPr>
                <w:sz w:val="24"/>
                <w:u w:color="auto"/>
              </w:rPr>
              <w:t>贮存</w:t>
            </w:r>
            <w:r>
              <w:rPr>
                <w:u/>
              </w:rPr>
            </w:r>
          </w:p>
        </w:tc>
        <w:tc>
          <w:tcPr>
            <w:tcW w:w="1803" w:type="dxa"/>
            <w:vAlign w:val="center"/>
          </w:tcPr>
          <w:p>
            <w:pPr>
              <w:pBdr/>
              <w:ind/>
              <w:jc w:val="center"/>
            </w:pPr>
            <w:r>
              <w:rPr>
                <w:sz w:val="24"/>
                <w:u w:color="auto"/>
              </w:rPr>
              <w:t>83.5</w:t>
            </w:r>
            <w:r>
              <w:rPr>
                <w:u/>
              </w:rPr>
            </w:r>
          </w:p>
        </w:tc>
        <w:tc>
          <w:tcPr>
            <w:tcW w:w="1803" w:type="dxa"/>
            <w:vAlign w:val="center"/>
          </w:tcPr>
          <w:p>
            <w:pPr>
              <w:pBdr/>
              <w:ind/>
              <w:jc w:val="center"/>
            </w:pPr>
            <w:r>
              <w:rPr>
                <w:sz w:val="24"/>
                <w:u w:color="auto"/>
              </w:rPr>
              <w:t>吨</w:t>
            </w:r>
            <w:r>
              <w:rPr>
                <w:u/>
              </w:rPr>
            </w:r>
          </w:p>
        </w:tc>
        <w:tc>
          <w:tcPr>
            <w:tcW w:w="1803" w:type="dxa"/>
            <w:vAlign w:val="center"/>
          </w:tcPr>
          <w:p>
            <w:pPr>
              <w:pBdr/>
              <w:ind/>
              <w:jc w:val="center"/>
            </w:pPr>
            <w:r>
              <w:rPr>
                <w:sz w:val="24"/>
                <w:u w:color="auto"/>
              </w:rPr>
              <w:t>尾气处理装置风机</w:t>
            </w:r>
            <w:r>
              <w:rPr>
                <w:u/>
              </w:rPr>
            </w:r>
          </w:p>
        </w:tc>
        <w:tc>
          <w:tcPr>
            <w:tcW w:w="1803" w:type="dxa"/>
            <w:vAlign w:val="center"/>
          </w:tcPr>
          <w:p>
            <w:pPr>
              <w:pBdr/>
              <w:ind/>
              <w:jc w:val="center"/>
            </w:pPr>
            <w:r>
              <w:rPr>
                <w:sz w:val="24"/>
                <w:u w:color="auto"/>
              </w:rPr>
              <w:t>22.5</w:t>
            </w:r>
            <w:r>
              <w:rPr>
                <w:u/>
              </w:rPr>
            </w:r>
          </w:p>
        </w:tc>
        <w:tc>
          <w:tcPr>
            <w:tcW w:w="1803" w:type="dxa"/>
            <w:vAlign w:val="center"/>
          </w:tcPr>
          <w:p>
            <w:pPr>
              <w:pBdr/>
              <w:ind/>
              <w:jc w:val="center"/>
            </w:pPr>
            <w:r>
              <w:rPr>
                <w:sz w:val="24"/>
                <w:u w:color="auto"/>
              </w:rPr>
              <w:t>千瓦时</w:t>
            </w:r>
            <w:r>
              <w:rPr>
                <w:u/>
              </w:rPr>
            </w:r>
          </w:p>
        </w:tc>
      </w:tr>
      <w:tr>
        <w:trPr>
          <w:trHeight w:val="850" w:hRule="atLeast"/>
        </w:trPr>
        <w:tc>
          <w:tcPr>
            <w:tcW w:w="1803" w:type="dxa"/>
            <w:vAlign w:val="center"/>
          </w:tcPr>
          <w:p>
            <w:pPr>
              <w:pBdr/>
              <w:ind/>
              <w:jc w:val="center"/>
            </w:pPr>
            <w:r>
              <w:rPr>
                <w:sz w:val="24"/>
                <w:u w:color="auto"/>
              </w:rPr>
              <w:t>危险废物仓库</w:t>
            </w:r>
            <w:r>
              <w:rPr>
                <w:u/>
              </w:rPr>
            </w:r>
          </w:p>
        </w:tc>
        <w:tc>
          <w:tcPr>
            <w:tcW w:w="1803" w:type="dxa"/>
            <w:vAlign w:val="center"/>
          </w:tcPr>
          <w:p>
            <w:pPr>
              <w:pBdr/>
              <w:ind/>
              <w:jc w:val="center"/>
            </w:pPr>
            <w:r>
              <w:rPr>
                <w:sz w:val="24"/>
                <w:u w:color="auto"/>
              </w:rPr>
              <w:t>TS002</w:t>
            </w:r>
            <w:r>
              <w:rPr>
                <w:u/>
              </w:rPr>
            </w:r>
          </w:p>
        </w:tc>
        <w:tc>
          <w:tcPr>
            <w:tcW w:w="1803" w:type="dxa"/>
            <w:vAlign w:val="center"/>
          </w:tcPr>
          <w:p>
            <w:pPr>
              <w:pBdr/>
              <w:ind/>
              <w:jc w:val="center"/>
            </w:pPr>
            <w:r>
              <w:rPr>
                <w:sz w:val="24"/>
                <w:u w:color="auto"/>
              </w:rPr>
              <w:t>贮存</w:t>
            </w:r>
            <w:r>
              <w:rPr>
                <w:u/>
              </w:rPr>
            </w:r>
          </w:p>
        </w:tc>
        <w:tc>
          <w:tcPr>
            <w:tcW w:w="1803" w:type="dxa"/>
            <w:vAlign w:val="center"/>
          </w:tcPr>
          <w:p>
            <w:pPr>
              <w:pBdr/>
              <w:ind/>
              <w:jc w:val="center"/>
            </w:pPr>
            <w:r>
              <w:rPr>
                <w:sz w:val="24"/>
                <w:u w:color="auto"/>
              </w:rPr>
              <w:t>1200</w:t>
            </w:r>
            <w:r>
              <w:rPr>
                <w:u/>
              </w:rPr>
            </w:r>
          </w:p>
        </w:tc>
        <w:tc>
          <w:tcPr>
            <w:tcW w:w="1803" w:type="dxa"/>
            <w:vAlign w:val="center"/>
          </w:tcPr>
          <w:p>
            <w:pPr>
              <w:pBdr/>
              <w:ind/>
              <w:jc w:val="center"/>
            </w:pPr>
            <w:r>
              <w:rPr>
                <w:sz w:val="24"/>
                <w:u w:color="auto"/>
              </w:rPr>
              <w:t>吨</w:t>
            </w:r>
            <w:r>
              <w:rPr>
                <w:u/>
              </w:rPr>
            </w:r>
          </w:p>
        </w:tc>
        <w:tc>
          <w:tcPr>
            <w:tcW w:w="1803" w:type="dxa"/>
            <w:vAlign w:val="center"/>
          </w:tcPr>
          <w:p>
            <w:pPr>
              <w:pBdr/>
              <w:ind/>
              <w:jc w:val="center"/>
            </w:pPr>
            <w:r>
              <w:rPr>
                <w:sz w:val="24"/>
                <w:u w:color="auto"/>
              </w:rPr>
              <w:t>尾气设施风机</w:t>
            </w:r>
            <w:r>
              <w:rPr>
                <w:u/>
              </w:rPr>
            </w:r>
          </w:p>
        </w:tc>
        <w:tc>
          <w:tcPr>
            <w:tcW w:w="1803" w:type="dxa"/>
            <w:vAlign w:val="center"/>
          </w:tcPr>
          <w:p>
            <w:pPr>
              <w:pBdr/>
              <w:ind/>
              <w:jc w:val="center"/>
            </w:pPr>
            <w:r>
              <w:rPr>
                <w:sz w:val="24"/>
                <w:u w:color="auto"/>
              </w:rPr>
              <w:t>7.5</w:t>
            </w:r>
            <w:r>
              <w:rPr>
                <w:u/>
              </w:rPr>
            </w:r>
          </w:p>
        </w:tc>
        <w:tc>
          <w:tcPr>
            <w:tcW w:w="1803" w:type="dxa"/>
            <w:vAlign w:val="center"/>
          </w:tcPr>
          <w:p>
            <w:pPr>
              <w:pBdr/>
              <w:ind/>
              <w:jc w:val="center"/>
            </w:pPr>
            <w:r>
              <w:rPr>
                <w:sz w:val="24"/>
                <w:u w:color="auto"/>
              </w:rPr>
              <w:t>千瓦时</w:t>
            </w:r>
            <w:r>
              <w:rPr>
                <w:u/>
              </w:rPr>
            </w:r>
          </w:p>
        </w:tc>
      </w:tr>
      <w:tr>
        <w:trPr>
          <w:trHeight w:val="850" w:hRule="atLeast"/>
        </w:trPr>
        <w:tc>
          <w:tcPr>
            <w:tcW w:w="1803" w:type="dxa"/>
            <w:vAlign w:val="center"/>
          </w:tcPr>
          <w:p>
            <w:pPr>
              <w:pBdr/>
              <w:ind/>
              <w:jc w:val="center"/>
            </w:pPr>
            <w:r>
              <w:rPr>
                <w:sz w:val="24"/>
                <w:u w:color="auto"/>
              </w:rPr>
              <w:t>混合二氯苯</w:t>
            </w:r>
            <w:r>
              <w:rPr>
                <w:u/>
              </w:rPr>
            </w:r>
          </w:p>
        </w:tc>
        <w:tc>
          <w:tcPr>
            <w:tcW w:w="1803" w:type="dxa"/>
            <w:vAlign w:val="center"/>
          </w:tcPr>
          <w:p>
            <w:pPr>
              <w:pBdr/>
              <w:ind/>
              <w:jc w:val="center"/>
            </w:pPr>
            <w:r>
              <w:rPr>
                <w:sz w:val="24"/>
                <w:u w:color="auto"/>
              </w:rPr>
              <w:t>TS003</w:t>
            </w:r>
            <w:r>
              <w:rPr>
                <w:u/>
              </w:rPr>
            </w:r>
          </w:p>
        </w:tc>
        <w:tc>
          <w:tcPr>
            <w:tcW w:w="1803" w:type="dxa"/>
            <w:vAlign w:val="center"/>
          </w:tcPr>
          <w:p>
            <w:pPr>
              <w:pBdr/>
              <w:ind/>
              <w:jc w:val="center"/>
            </w:pPr>
            <w:r>
              <w:rPr>
                <w:sz w:val="24"/>
                <w:u w:color="auto"/>
              </w:rPr>
              <w:t>贮存</w:t>
            </w:r>
            <w:r>
              <w:rPr>
                <w:u/>
              </w:rPr>
            </w:r>
          </w:p>
        </w:tc>
        <w:tc>
          <w:tcPr>
            <w:tcW w:w="1803" w:type="dxa"/>
            <w:vAlign w:val="center"/>
          </w:tcPr>
          <w:p>
            <w:pPr>
              <w:pBdr/>
              <w:ind/>
              <w:jc w:val="center"/>
            </w:pPr>
            <w:r>
              <w:rPr>
                <w:sz w:val="24"/>
                <w:u w:color="auto"/>
              </w:rPr>
              <w:t>80</w:t>
            </w:r>
            <w:r>
              <w:rPr>
                <w:u/>
              </w:rPr>
            </w:r>
          </w:p>
        </w:tc>
        <w:tc>
          <w:tcPr>
            <w:tcW w:w="1803" w:type="dxa"/>
            <w:vAlign w:val="center"/>
          </w:tcPr>
          <w:p>
            <w:pPr>
              <w:pBdr/>
              <w:ind/>
              <w:jc w:val="center"/>
            </w:pPr>
            <w:r>
              <w:rPr>
                <w:sz w:val="24"/>
                <w:u w:color="auto"/>
              </w:rPr>
              <w:t>吨</w:t>
            </w:r>
            <w:r>
              <w:rPr>
                <w:u/>
              </w:rPr>
            </w:r>
          </w:p>
        </w:tc>
        <w:tc>
          <w:tcPr>
            <w:tcW w:w="1803" w:type="dxa"/>
            <w:vAlign w:val="center"/>
          </w:tcPr>
          <w:p>
            <w:pPr>
              <w:pBdr/>
              <w:ind/>
              <w:jc w:val="center"/>
            </w:pPr>
            <w:r>
              <w:rPr>
                <w:sz w:val="24"/>
                <w:u w:color="auto"/>
              </w:rPr>
              <w:t>密闭储罐</w:t>
            </w:r>
            <w:r>
              <w:rPr>
                <w:u/>
              </w:rPr>
            </w:r>
          </w:p>
        </w:tc>
        <w:tc>
          <w:tcPr>
            <w:tcW w:w="1803" w:type="dxa"/>
            <w:vAlign w:val="center"/>
          </w:tcPr>
          <w:p>
            <w:pPr>
              <w:pBdr/>
              <w:ind/>
              <w:jc w:val="center"/>
            </w:pPr>
            <w:r>
              <w:rPr>
                <w:sz w:val="24"/>
                <w:u w:color="auto"/>
              </w:rPr>
              <w:t>86.43</w:t>
            </w:r>
            <w:r>
              <w:rPr>
                <w:u/>
              </w:rPr>
            </w:r>
          </w:p>
        </w:tc>
        <w:tc>
          <w:tcPr>
            <w:tcW w:w="1803" w:type="dxa"/>
            <w:vAlign w:val="center"/>
          </w:tcPr>
          <w:p>
            <w:pPr>
              <w:pBdr/>
              <w:ind/>
              <w:jc w:val="center"/>
            </w:pPr>
            <w:r>
              <w:rPr>
                <w:sz w:val="24"/>
                <w:u w:color="auto"/>
              </w:rPr>
              <w:t>立方米</w:t>
            </w:r>
            <w:r>
              <w:rPr>
                <w:u/>
              </w:rPr>
            </w:r>
          </w:p>
        </w:tc>
      </w:tr>
      <w:tr>
        <w:trPr>
          <w:trHeight w:val="850" w:hRule="atLeast"/>
        </w:trPr>
        <w:tc>
          <w:tcPr>
            <w:tcW w:w="1803" w:type="dxa"/>
            <w:vMerge w:val="restart"/>
            <w:vAlign w:val="center"/>
          </w:tcPr>
          <w:p>
            <w:pPr>
              <w:pBdr/>
              <w:ind/>
              <w:jc w:val="center"/>
            </w:pPr>
            <w:r>
              <w:rPr>
                <w:sz w:val="24"/>
                <w:u w:color="auto"/>
              </w:rPr>
              <w:t>固废暂存场</w:t>
            </w:r>
            <w:r>
              <w:rPr>
                <w:u/>
              </w:rPr>
            </w:r>
          </w:p>
        </w:tc>
        <w:tc>
          <w:tcPr>
            <w:tcW w:w="1803" w:type="dxa"/>
            <w:vMerge w:val="restart"/>
            <w:vAlign w:val="center"/>
          </w:tcPr>
          <w:p>
            <w:pPr>
              <w:pBdr/>
              <w:ind/>
              <w:jc w:val="center"/>
            </w:pPr>
            <w:r>
              <w:rPr>
                <w:sz w:val="24"/>
                <w:u w:color="auto"/>
              </w:rPr>
              <w:t>TS004</w:t>
            </w:r>
            <w:r>
              <w:rPr>
                <w:u/>
              </w:rPr>
            </w:r>
          </w:p>
        </w:tc>
        <w:tc>
          <w:tcPr>
            <w:tcW w:w="1803" w:type="dxa"/>
            <w:vMerge w:val="restart"/>
            <w:vAlign w:val="center"/>
          </w:tcPr>
          <w:p>
            <w:pPr>
              <w:pBdr/>
              <w:ind/>
              <w:jc w:val="center"/>
            </w:pPr>
            <w:r>
              <w:rPr>
                <w:sz w:val="24"/>
                <w:u w:color="auto"/>
              </w:rPr>
              <w:t>贮存</w:t>
            </w:r>
            <w:r>
              <w:rPr>
                <w:u/>
              </w:rPr>
            </w:r>
          </w:p>
        </w:tc>
        <w:tc>
          <w:tcPr>
            <w:tcW w:w="1803" w:type="dxa"/>
            <w:vMerge w:val="restart"/>
            <w:vAlign w:val="center"/>
          </w:tcPr>
          <w:p>
            <w:pPr>
              <w:pBdr/>
              <w:ind/>
              <w:jc w:val="center"/>
            </w:pPr>
            <w:r>
              <w:rPr>
                <w:sz w:val="24"/>
                <w:u w:color="auto"/>
              </w:rPr>
              <w:t>5000</w:t>
            </w:r>
            <w:r>
              <w:rPr>
                <w:u/>
              </w:rPr>
            </w:r>
          </w:p>
        </w:tc>
        <w:tc>
          <w:tcPr>
            <w:tcW w:w="1803" w:type="dxa"/>
            <w:vMerge w:val="restart"/>
            <w:vAlign w:val="center"/>
          </w:tcPr>
          <w:p>
            <w:pPr>
              <w:pBdr/>
              <w:ind/>
              <w:jc w:val="center"/>
            </w:pPr>
            <w:r>
              <w:rPr>
                <w:sz w:val="24"/>
                <w:u w:color="auto"/>
              </w:rPr>
              <w:t>吨</w:t>
            </w:r>
            <w:r>
              <w:rPr>
                <w:u/>
              </w:rPr>
            </w:r>
          </w:p>
        </w:tc>
        <w:tc>
          <w:tcPr>
            <w:tcW w:w="1803" w:type="dxa"/>
            <w:vAlign w:val="center"/>
          </w:tcPr>
          <w:p>
            <w:pPr>
              <w:pBdr/>
              <w:ind/>
              <w:jc w:val="center"/>
            </w:pPr>
            <w:r>
              <w:rPr>
                <w:sz w:val="24"/>
                <w:u w:color="auto"/>
              </w:rPr>
              <w:t>地面硬化</w:t>
            </w:r>
            <w:r>
              <w:rPr>
                <w:u/>
              </w:rPr>
            </w:r>
          </w:p>
        </w:tc>
        <w:tc>
          <w:tcPr>
            <w:tcW w:w="1803" w:type="dxa"/>
            <w:vAlign w:val="center"/>
          </w:tcPr>
          <w:p>
            <w:pPr>
              <w:pBdr/>
              <w:ind/>
              <w:jc w:val="center"/>
            </w:pPr>
            <w:r>
              <w:rPr>
                <w:sz w:val="24"/>
                <w:u w:color="auto"/>
              </w:rPr>
              <w:t>1600</w:t>
            </w:r>
            <w:r>
              <w:rPr>
                <w:u/>
              </w:rPr>
            </w:r>
          </w:p>
        </w:tc>
        <w:tc>
          <w:tcPr>
            <w:tcW w:w="1803" w:type="dxa"/>
            <w:vAlign w:val="center"/>
          </w:tcPr>
          <w:p>
            <w:pPr>
              <w:pBdr/>
              <w:ind/>
              <w:jc w:val="center"/>
            </w:pPr>
            <w:r>
              <w:rPr>
                <w:sz w:val="24"/>
                <w:u w:color="auto"/>
              </w:rPr>
              <w:t>平方米</w:t>
            </w:r>
            <w:r>
              <w:rPr>
                <w:u/>
              </w:rPr>
            </w:r>
          </w:p>
        </w:tc>
      </w:tr>
      <w:tr>
        <w:trPr>
          <w:trHeight w:val="850" w:hRule="atLeast"/>
        </w:trPr>
        <w:tc>
          <w:tcPr>
            <w:tcW w:w="1803" w:type="dxa"/>
            <w:vMerge w:val="continue"/>
            <w:vAlign w:val="center"/>
          </w:tcPr>
          <w:p>
            <w:pPr>
              <w:pBdr/>
              <w:ind/>
              <w:jc w:val="center"/>
            </w:pPr>
            <w:r>
              <w:rPr>
                <w:sz w:val="24"/>
                <w:u w:color="auto"/>
              </w:rPr>
              <w:t>固废暂存场</w:t>
            </w:r>
            <w:r>
              <w:rPr>
                <w:u/>
              </w:rPr>
            </w:r>
          </w:p>
        </w:tc>
        <w:tc>
          <w:tcPr>
            <w:tcW w:w="1803" w:type="dxa"/>
            <w:vMerge w:val="continue"/>
            <w:vAlign w:val="center"/>
          </w:tcPr>
          <w:p>
            <w:pPr>
              <w:pBdr/>
              <w:ind/>
              <w:jc w:val="center"/>
            </w:pPr>
            <w:r>
              <w:rPr>
                <w:sz w:val="24"/>
                <w:u w:color="auto"/>
              </w:rPr>
              <w:t>TS004</w:t>
            </w:r>
            <w:r>
              <w:rPr>
                <w:u/>
              </w:rPr>
            </w:r>
          </w:p>
        </w:tc>
        <w:tc>
          <w:tcPr>
            <w:tcW w:w="1803" w:type="dxa"/>
            <w:vMerge w:val="continue"/>
            <w:vAlign w:val="center"/>
          </w:tcPr>
          <w:p>
            <w:pPr>
              <w:pBdr/>
              <w:ind/>
              <w:jc w:val="center"/>
            </w:pPr>
            <w:r>
              <w:rPr>
                <w:sz w:val="24"/>
                <w:u w:color="auto"/>
              </w:rPr>
              <w:t>贮存</w:t>
            </w:r>
            <w:r>
              <w:rPr>
                <w:u/>
              </w:rPr>
            </w:r>
          </w:p>
        </w:tc>
        <w:tc>
          <w:tcPr>
            <w:tcW w:w="1803" w:type="dxa"/>
            <w:vMerge w:val="continue"/>
            <w:vAlign w:val="center"/>
          </w:tcPr>
          <w:p>
            <w:pPr>
              <w:pBdr/>
              <w:ind/>
              <w:jc w:val="center"/>
            </w:pPr>
            <w:r>
              <w:rPr>
                <w:sz w:val="24"/>
                <w:u w:color="auto"/>
              </w:rPr>
              <w:t>5000</w:t>
            </w:r>
            <w:r>
              <w:rPr>
                <w:u/>
              </w:rPr>
            </w:r>
          </w:p>
        </w:tc>
        <w:tc>
          <w:tcPr>
            <w:tcW w:w="1803" w:type="dxa"/>
            <w:vMerge w:val="continue"/>
            <w:vAlign w:val="center"/>
          </w:tcPr>
          <w:p>
            <w:pPr>
              <w:pBdr/>
              <w:ind/>
              <w:jc w:val="center"/>
            </w:pPr>
            <w:r>
              <w:rPr>
                <w:sz w:val="24"/>
                <w:u w:color="auto"/>
              </w:rPr>
              <w:t>吨</w:t>
            </w:r>
            <w:r>
              <w:rPr>
                <w:u/>
              </w:rPr>
            </w:r>
          </w:p>
        </w:tc>
        <w:tc>
          <w:tcPr>
            <w:tcW w:w="1803" w:type="dxa"/>
            <w:vAlign w:val="center"/>
          </w:tcPr>
          <w:p>
            <w:pPr>
              <w:pBdr/>
              <w:ind/>
              <w:jc w:val="center"/>
            </w:pPr>
            <w:r>
              <w:rPr>
                <w:sz w:val="24"/>
                <w:u w:color="auto"/>
              </w:rPr>
              <w:t>防风防雨防尘设施</w:t>
            </w:r>
            <w:r>
              <w:rPr>
                <w:u/>
              </w:rPr>
            </w:r>
          </w:p>
        </w:tc>
        <w:tc>
          <w:tcPr>
            <w:tcW w:w="1803" w:type="dxa"/>
            <w:vAlign w:val="center"/>
          </w:tcPr>
          <w:p>
            <w:pPr>
              <w:pBdr/>
              <w:ind/>
              <w:jc w:val="center"/>
            </w:pPr>
            <w:r>
              <w:rPr>
                <w:sz w:val="24"/>
                <w:u w:color="auto"/>
              </w:rPr>
              <w:t>1222.5</w:t>
            </w:r>
            <w:r>
              <w:rPr>
                <w:u/>
              </w:rPr>
            </w:r>
          </w:p>
        </w:tc>
        <w:tc>
          <w:tcPr>
            <w:tcW w:w="1803" w:type="dxa"/>
            <w:vAlign w:val="center"/>
          </w:tcPr>
          <w:p>
            <w:pPr>
              <w:pBdr/>
              <w:ind/>
              <w:jc w:val="center"/>
            </w:pPr>
            <w:r>
              <w:rPr>
                <w:sz w:val="24"/>
                <w:u w:color="auto"/>
              </w:rPr>
              <w:t>平方米</w:t>
            </w:r>
            <w:r>
              <w:rPr>
                <w:u/>
              </w:rPr>
            </w:r>
          </w:p>
        </w:tc>
      </w:tr>
      <w:tr>
        <w:trPr>
          <w:trHeight w:val="850" w:hRule="atLeast"/>
        </w:trPr>
        <w:tc>
          <w:tcPr>
            <w:tcW w:w="1803" w:type="dxa"/>
            <w:vAlign w:val="center"/>
          </w:tcPr>
          <w:p>
            <w:pPr>
              <w:pBdr/>
              <w:ind/>
              <w:jc w:val="center"/>
            </w:pPr>
            <w:r>
              <w:rPr>
                <w:sz w:val="24"/>
                <w:u w:color="auto"/>
              </w:rPr>
              <w:t>煤场</w:t>
            </w:r>
            <w:r>
              <w:rPr>
                <w:u/>
              </w:rPr>
            </w:r>
          </w:p>
        </w:tc>
        <w:tc>
          <w:tcPr>
            <w:tcW w:w="1803" w:type="dxa"/>
            <w:vAlign w:val="center"/>
          </w:tcPr>
          <w:p>
            <w:pPr>
              <w:pBdr/>
              <w:ind/>
              <w:jc w:val="center"/>
            </w:pPr>
            <w:r>
              <w:rPr>
                <w:sz w:val="24"/>
                <w:u w:color="auto"/>
              </w:rPr>
              <w:t>TS005</w:t>
            </w:r>
            <w:r>
              <w:rPr>
                <w:u/>
              </w:rPr>
            </w:r>
          </w:p>
        </w:tc>
        <w:tc>
          <w:tcPr>
            <w:tcW w:w="1803" w:type="dxa"/>
            <w:vAlign w:val="center"/>
          </w:tcPr>
          <w:p>
            <w:pPr>
              <w:pBdr/>
              <w:ind/>
              <w:jc w:val="center"/>
            </w:pPr>
            <w:r>
              <w:rPr>
                <w:sz w:val="24"/>
                <w:u w:color="auto"/>
              </w:rPr>
              <w:t>贮存</w:t>
            </w:r>
            <w:r>
              <w:rPr>
                <w:u/>
              </w:rPr>
            </w:r>
          </w:p>
        </w:tc>
        <w:tc>
          <w:tcPr>
            <w:tcW w:w="1803" w:type="dxa"/>
            <w:vAlign w:val="center"/>
          </w:tcPr>
          <w:p>
            <w:pPr>
              <w:pBdr/>
              <w:ind/>
              <w:jc w:val="center"/>
            </w:pPr>
            <w:r>
              <w:rPr>
                <w:sz w:val="24"/>
                <w:u w:color="auto"/>
              </w:rPr>
              <w:t>5000</w:t>
            </w:r>
            <w:r>
              <w:rPr>
                <w:u/>
              </w:rPr>
            </w:r>
          </w:p>
        </w:tc>
        <w:tc>
          <w:tcPr>
            <w:tcW w:w="1803" w:type="dxa"/>
            <w:vAlign w:val="center"/>
          </w:tcPr>
          <w:p>
            <w:pPr>
              <w:pBdr/>
              <w:ind/>
              <w:jc w:val="center"/>
            </w:pPr>
            <w:r>
              <w:rPr>
                <w:sz w:val="24"/>
                <w:u w:color="auto"/>
              </w:rPr>
              <w:t>吨</w:t>
            </w:r>
            <w:r>
              <w:rPr>
                <w:u/>
              </w:rPr>
            </w:r>
          </w:p>
        </w:tc>
        <w:tc>
          <w:tcPr>
            <w:tcW w:w="1803" w:type="dxa"/>
            <w:vAlign w:val="center"/>
          </w:tcPr>
          <w:p>
            <w:pPr>
              <w:pBdr/>
              <w:ind/>
              <w:jc w:val="center"/>
            </w:pPr>
            <w:r>
              <w:rPr>
                <w:sz w:val="24"/>
                <w:u w:color="auto"/>
              </w:rPr>
              <w:t>抑尘网</w:t>
            </w:r>
            <w:r>
              <w:rPr>
                <w:u/>
              </w:rPr>
            </w:r>
          </w:p>
        </w:tc>
        <w:tc>
          <w:tcPr>
            <w:tcW w:w="1803" w:type="dxa"/>
            <w:vAlign w:val="center"/>
          </w:tcPr>
          <w:p>
            <w:pPr>
              <w:pBdr/>
              <w:ind/>
              <w:jc w:val="center"/>
            </w:pPr>
            <w:r>
              <w:rPr>
                <w:sz w:val="24"/>
                <w:u w:color="auto"/>
              </w:rPr>
              <w:t>7920</w:t>
            </w:r>
            <w:r>
              <w:rPr>
                <w:u/>
              </w:rPr>
            </w:r>
          </w:p>
        </w:tc>
        <w:tc>
          <w:tcPr>
            <w:tcW w:w="1803" w:type="dxa"/>
            <w:vAlign w:val="center"/>
          </w:tcPr>
          <w:p>
            <w:pPr>
              <w:pBdr/>
              <w:ind/>
              <w:jc w:val="center"/>
            </w:pPr>
            <w:r>
              <w:rPr>
                <w:sz w:val="24"/>
                <w:u w:color="auto"/>
              </w:rPr>
              <w:t>平方米</w:t>
            </w:r>
            <w:r>
              <w:rPr>
                <w:u/>
              </w:rPr>
            </w:r>
          </w:p>
        </w:tc>
      </w:tr>
    </w:tbl>
    <w:p>
      <w:pPr>
        <w:keepNext w:val="0"/>
        <w:keepLines w:val="0"/>
        <w:pageBreakBefore w:val="0"/>
        <w:widowControl w:val="0"/>
        <w:kinsoku/>
        <w:wordWrap/>
        <w:overflowPunct/>
        <w:topLinePunct w:val="0"/>
        <w:autoSpaceDE/>
        <w:autoSpaceDN/>
        <w:bidi w:val="0"/>
        <w:adjustRightInd/>
        <w:snapToGrid/>
        <w:textAlignment w:val="auto"/>
        <w:rPr>
          <w:rFonts w:ascii="黑体" w:hAnsi="黑体" w:eastAsia="黑体" w:cs="黑体"/>
          <w:spacing w:val="-6"/>
          <w:sz w:val="30"/>
          <w:szCs w:val="30"/>
        </w:rPr>
      </w:pPr>
      <w:r>
        <w:rPr>
          <w:rFonts w:ascii="黑体" w:hAnsi="黑体" w:eastAsia="黑体" w:cs="黑体"/>
          <w:spacing w:val="-6"/>
          <w:sz w:val="30"/>
          <w:szCs w:val="30"/>
        </w:rPr>
        <w:br w:type="page"/>
      </w:r>
    </w:p>
    <w:p>
      <w:pPr>
        <w:ind w:left="5040" w:leftChars="0" w:firstLine="420" w:firstLineChars="0"/>
        <w:rPr>
          <w:rFonts w:hint="eastAsia"/>
          <w:lang w:val="en-US" w:eastAsia="zh-CN"/>
        </w:rPr>
      </w:pPr>
      <w:r>
        <w:rPr>
          <w:rFonts w:ascii="黑体" w:hAnsi="黑体" w:eastAsia="黑体" w:cs="黑体"/>
          <w:spacing w:val="-8"/>
          <w:sz w:val="30"/>
          <w:szCs w:val="30"/>
        </w:rPr>
        <w:t>表</w:t>
      </w:r>
      <w:r>
        <w:rPr>
          <w:rFonts w:hint="eastAsia" w:ascii="黑体" w:hAnsi="黑体" w:eastAsia="黑体" w:cs="黑体"/>
          <w:spacing w:val="-8"/>
          <w:sz w:val="30"/>
          <w:szCs w:val="30"/>
          <w:lang w:val="en-US" w:eastAsia="zh-CN"/>
        </w:rPr>
        <w:t>4</w:t>
      </w:r>
      <w:r>
        <w:rPr>
          <w:rFonts w:ascii="黑体" w:hAnsi="黑体" w:eastAsia="黑体" w:cs="黑体"/>
          <w:spacing w:val="-4"/>
          <w:sz w:val="30"/>
          <w:szCs w:val="30"/>
        </w:rPr>
        <w:t xml:space="preserve">  </w:t>
      </w:r>
      <w:r>
        <w:rPr>
          <w:rFonts w:hint="eastAsia" w:ascii="黑体" w:hAnsi="黑体" w:eastAsia="黑体" w:cs="黑体"/>
          <w:spacing w:val="-4"/>
          <w:sz w:val="30"/>
          <w:szCs w:val="30"/>
          <w:lang w:val="en-US" w:eastAsia="zh-CN"/>
        </w:rPr>
        <w:t>危废产生情况</w:t>
      </w:r>
      <w:r>
        <w:rPr>
          <w:rFonts w:ascii="黑体" w:hAnsi="黑体" w:eastAsia="黑体" w:cs="黑体"/>
          <w:spacing w:val="-4"/>
          <w:sz w:val="30"/>
          <w:szCs w:val="30"/>
        </w:rPr>
        <w:t>信息表</w:t>
      </w:r>
    </w:p>
    <w:tbl>
      <w:tblPr>
        <w:tblW w:w="14173" w:type="dxa"/>
        <w:tblInd w:type="dxa" w:w="0"/>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type="dxa" w:w="107"/>
          <w:right w:type="dxa" w:w="107"/>
        </w:tblCellMar>
      </w:tblPr>
      <w:tblGrid>
        <w:gridCol w:w="1181"/>
        <w:gridCol w:w="1181"/>
        <w:gridCol w:w="1181"/>
        <w:gridCol w:w="1181"/>
        <w:gridCol w:w="1181"/>
        <w:gridCol w:w="1181"/>
        <w:gridCol w:w="1181"/>
        <w:gridCol w:w="1181"/>
        <w:gridCol w:w="1181"/>
        <w:gridCol w:w="1181"/>
        <w:gridCol w:w="1181"/>
        <w:gridCol w:w="1181"/>
      </w:tblGrid>
      <w:tr>
        <w:trPr>
          <w:trHeight w:val="566" w:hRule="auto"/>
        </w:trPr>
        <w:tc>
          <w:tcPr>
            <w:tcW w:w="1181" w:type="dxa"/>
            <w:vAlign w:val="center"/>
          </w:tcPr>
          <w:p>
            <w:pPr>
              <w:pBdr/>
              <w:ind/>
              <w:jc w:val="center"/>
            </w:pPr>
            <w:r>
              <w:rPr>
                <w:rFonts w:eastAsia="Hei" w:ascii="Hei" w:hAnsi="Hei" w:cs="Hei"/>
                <w:b w:val="true"/>
                <w:sz w:val="24"/>
                <w:u w:color="auto"/>
              </w:rPr>
              <w:t>废物类别</w:t>
            </w:r>
            <w:r>
              <w:rPr>
                <w:u/>
              </w:rPr>
            </w:r>
          </w:p>
        </w:tc>
        <w:tc>
          <w:tcPr>
            <w:tcW w:w="1181" w:type="dxa"/>
            <w:vAlign w:val="center"/>
          </w:tcPr>
          <w:p>
            <w:pPr>
              <w:pBdr/>
              <w:ind/>
              <w:jc w:val="center"/>
            </w:pPr>
            <w:r>
              <w:rPr>
                <w:rFonts w:eastAsia="Hei" w:ascii="Hei" w:hAnsi="Hei" w:cs="Hei"/>
                <w:b w:val="true"/>
                <w:sz w:val="24"/>
                <w:u w:color="auto"/>
              </w:rPr>
              <w:t>代码</w:t>
            </w:r>
            <w:r>
              <w:rPr>
                <w:u/>
              </w:rPr>
            </w:r>
          </w:p>
        </w:tc>
        <w:tc>
          <w:tcPr>
            <w:tcW w:w="1181" w:type="dxa"/>
            <w:vAlign w:val="center"/>
          </w:tcPr>
          <w:p>
            <w:pPr>
              <w:pBdr/>
              <w:ind/>
              <w:jc w:val="center"/>
            </w:pPr>
            <w:r>
              <w:rPr>
                <w:rFonts w:eastAsia="Hei" w:ascii="Hei" w:hAnsi="Hei" w:cs="Hei"/>
                <w:b w:val="true"/>
                <w:sz w:val="24"/>
                <w:u w:color="auto"/>
              </w:rPr>
              <w:t>主要危险特性</w:t>
            </w:r>
            <w:r>
              <w:rPr>
                <w:u/>
              </w:rPr>
            </w:r>
          </w:p>
        </w:tc>
        <w:tc>
          <w:tcPr>
            <w:tcW w:w="1181" w:type="dxa"/>
            <w:vAlign w:val="center"/>
          </w:tcPr>
          <w:p>
            <w:pPr>
              <w:pBdr/>
              <w:ind/>
              <w:jc w:val="center"/>
            </w:pPr>
            <w:r>
              <w:rPr>
                <w:rFonts w:eastAsia="Hei" w:ascii="Hei" w:hAnsi="Hei" w:cs="Hei"/>
                <w:b w:val="true"/>
                <w:sz w:val="24"/>
                <w:u w:color="auto"/>
              </w:rPr>
              <w:t>废物名称</w:t>
            </w:r>
            <w:r>
              <w:rPr>
                <w:u/>
              </w:rPr>
            </w:r>
          </w:p>
        </w:tc>
        <w:tc>
          <w:tcPr>
            <w:tcW w:w="1181" w:type="dxa"/>
            <w:vAlign w:val="center"/>
          </w:tcPr>
          <w:p>
            <w:pPr>
              <w:pBdr/>
              <w:ind/>
              <w:jc w:val="center"/>
            </w:pPr>
            <w:r>
              <w:rPr>
                <w:rFonts w:eastAsia="Hei" w:ascii="Hei" w:hAnsi="Hei" w:cs="Hei"/>
                <w:b w:val="true"/>
                <w:sz w:val="24"/>
                <w:u w:color="auto"/>
              </w:rPr>
              <w:t>形态</w:t>
            </w:r>
            <w:r>
              <w:rPr>
                <w:u/>
              </w:rPr>
            </w:r>
          </w:p>
        </w:tc>
        <w:tc>
          <w:tcPr>
            <w:tcW w:w="1181" w:type="dxa"/>
            <w:vAlign w:val="center"/>
          </w:tcPr>
          <w:p>
            <w:pPr>
              <w:pBdr/>
              <w:ind/>
              <w:jc w:val="center"/>
            </w:pPr>
            <w:r>
              <w:rPr>
                <w:rFonts w:eastAsia="Hei" w:ascii="Hei" w:hAnsi="Hei" w:cs="Hei"/>
                <w:b w:val="true"/>
                <w:sz w:val="24"/>
                <w:u w:color="auto"/>
              </w:rPr>
              <w:t>设施名称</w:t>
            </w:r>
            <w:r>
              <w:rPr>
                <w:u/>
              </w:rPr>
            </w:r>
          </w:p>
        </w:tc>
        <w:tc>
          <w:tcPr>
            <w:tcW w:w="1181" w:type="dxa"/>
            <w:vAlign w:val="center"/>
          </w:tcPr>
          <w:p>
            <w:pPr>
              <w:pBdr/>
              <w:ind/>
              <w:jc w:val="center"/>
            </w:pPr>
            <w:r>
              <w:rPr>
                <w:rFonts w:eastAsia="Hei" w:ascii="Hei" w:hAnsi="Hei" w:cs="Hei"/>
                <w:b w:val="true"/>
                <w:sz w:val="24"/>
                <w:u w:color="auto"/>
              </w:rPr>
              <w:t>设施编码</w:t>
            </w:r>
            <w:r>
              <w:rPr>
                <w:u/>
              </w:rPr>
            </w:r>
          </w:p>
        </w:tc>
        <w:tc>
          <w:tcPr>
            <w:tcW w:w="1181" w:type="dxa"/>
            <w:vAlign w:val="center"/>
          </w:tcPr>
          <w:p>
            <w:pPr>
              <w:pBdr/>
              <w:ind/>
              <w:jc w:val="center"/>
            </w:pPr>
            <w:r>
              <w:rPr>
                <w:rFonts w:eastAsia="Hei" w:ascii="Hei" w:hAnsi="Hei" w:cs="Hei"/>
                <w:b w:val="true"/>
                <w:sz w:val="24"/>
                <w:u w:color="auto"/>
              </w:rPr>
              <w:t>对应产废环节名称</w:t>
            </w:r>
            <w:r>
              <w:rPr>
                <w:u/>
              </w:rPr>
            </w:r>
          </w:p>
        </w:tc>
        <w:tc>
          <w:tcPr>
            <w:tcW w:w="1181" w:type="dxa"/>
            <w:vAlign w:val="center"/>
          </w:tcPr>
          <w:p>
            <w:pPr>
              <w:pBdr/>
              <w:ind/>
              <w:jc w:val="center"/>
            </w:pPr>
            <w:r>
              <w:rPr>
                <w:rFonts w:eastAsia="Hei" w:ascii="Hei" w:hAnsi="Hei" w:cs="Hei"/>
                <w:b w:val="true"/>
                <w:sz w:val="24"/>
                <w:u w:color="auto"/>
              </w:rPr>
              <w:t>本年度预计产生量</w:t>
            </w:r>
            <w:r>
              <w:rPr>
                <w:u/>
              </w:rPr>
            </w:r>
          </w:p>
        </w:tc>
        <w:tc>
          <w:tcPr>
            <w:tcW w:w="1181" w:type="dxa"/>
            <w:vAlign w:val="center"/>
          </w:tcPr>
          <w:p>
            <w:pPr>
              <w:pBdr/>
              <w:ind/>
              <w:jc w:val="center"/>
            </w:pPr>
            <w:r>
              <w:rPr>
                <w:rFonts w:eastAsia="Hei" w:ascii="Hei" w:hAnsi="Hei" w:cs="Hei"/>
                <w:b w:val="true"/>
                <w:sz w:val="24"/>
                <w:u w:color="auto"/>
              </w:rPr>
              <w:t>计量单位</w:t>
            </w:r>
            <w:r>
              <w:rPr>
                <w:u/>
              </w:rPr>
            </w:r>
          </w:p>
        </w:tc>
        <w:tc>
          <w:tcPr>
            <w:tcW w:w="1181" w:type="dxa"/>
            <w:vAlign w:val="center"/>
          </w:tcPr>
          <w:p>
            <w:pPr>
              <w:pBdr/>
              <w:ind/>
              <w:jc w:val="center"/>
            </w:pPr>
            <w:r>
              <w:rPr>
                <w:rFonts w:eastAsia="Hei" w:ascii="Hei" w:hAnsi="Hei" w:cs="Hei"/>
                <w:b w:val="true"/>
                <w:sz w:val="24"/>
                <w:u w:color="auto"/>
              </w:rPr>
              <w:t>设施名称</w:t>
            </w:r>
            <w:r>
              <w:rPr>
                <w:u/>
              </w:rPr>
            </w:r>
          </w:p>
        </w:tc>
        <w:tc>
          <w:tcPr>
            <w:tcW w:w="1181" w:type="dxa"/>
            <w:vAlign w:val="center"/>
          </w:tcPr>
          <w:p>
            <w:pPr>
              <w:pBdr/>
              <w:ind/>
              <w:jc w:val="center"/>
            </w:pPr>
            <w:r>
              <w:rPr>
                <w:rFonts w:eastAsia="Hei" w:ascii="Hei" w:hAnsi="Hei" w:cs="Hei"/>
                <w:b w:val="true"/>
                <w:sz w:val="24"/>
                <w:u w:color="auto"/>
              </w:rPr>
              <w:t>设施编码</w:t>
            </w:r>
            <w:r>
              <w:rPr>
                <w:u/>
              </w:rPr>
            </w:r>
          </w:p>
        </w:tc>
      </w:tr>
      <w:tr>
        <w:trPr>
          <w:trHeight w:val="850" w:hRule="atLeast"/>
        </w:trPr>
        <w:tc>
          <w:tcPr>
            <w:tcW w:w="1181" w:type="dxa"/>
            <w:vAlign w:val="center"/>
          </w:tcPr>
          <w:p>
            <w:pPr>
              <w:pBdr/>
              <w:ind/>
              <w:jc w:val="center"/>
            </w:pPr>
            <w:r>
              <w:rPr>
                <w:sz w:val="24"/>
                <w:u w:color="auto"/>
              </w:rPr>
              <w:t>HW11</w:t>
            </w:r>
            <w:r>
              <w:rPr>
                <w:u/>
              </w:rPr>
            </w:r>
          </w:p>
        </w:tc>
        <w:tc>
          <w:tcPr>
            <w:tcW w:w="1181" w:type="dxa"/>
            <w:vAlign w:val="center"/>
          </w:tcPr>
          <w:p>
            <w:pPr>
              <w:pBdr/>
              <w:ind/>
              <w:jc w:val="center"/>
            </w:pPr>
            <w:r>
              <w:rPr>
                <w:sz w:val="24"/>
                <w:u w:color="auto"/>
              </w:rPr>
              <w:t>261-026-11</w:t>
            </w:r>
            <w:r>
              <w:rPr>
                <w:u/>
              </w:rPr>
            </w:r>
          </w:p>
        </w:tc>
        <w:tc>
          <w:tcPr>
            <w:tcW w:w="1181" w:type="dxa"/>
            <w:vAlign w:val="center"/>
          </w:tcPr>
          <w:p>
            <w:pPr>
              <w:pBdr/>
              <w:ind/>
              <w:jc w:val="center"/>
            </w:pPr>
            <w:r>
              <w:rPr>
                <w:sz w:val="24"/>
                <w:u w:color="auto"/>
              </w:rPr>
              <w:t>毒性</w:t>
            </w:r>
            <w:r>
              <w:rPr>
                <w:u/>
              </w:rPr>
            </w:r>
          </w:p>
        </w:tc>
        <w:tc>
          <w:tcPr>
            <w:tcW w:w="1181" w:type="dxa"/>
            <w:vAlign w:val="center"/>
          </w:tcPr>
          <w:p>
            <w:pPr>
              <w:pBdr/>
              <w:ind/>
              <w:jc w:val="center"/>
            </w:pPr>
            <w:r>
              <w:rPr>
                <w:sz w:val="24"/>
                <w:u w:color="auto"/>
              </w:rPr>
              <w:t>混合二氯苯</w:t>
            </w:r>
            <w:r>
              <w:rPr>
                <w:u/>
              </w:rPr>
            </w:r>
          </w:p>
        </w:tc>
        <w:tc>
          <w:tcPr>
            <w:tcW w:w="1181" w:type="dxa"/>
            <w:vAlign w:val="center"/>
          </w:tcPr>
          <w:p>
            <w:pPr>
              <w:pBdr/>
              <w:ind/>
              <w:jc w:val="center"/>
            </w:pPr>
            <w:r>
              <w:rPr>
                <w:sz w:val="24"/>
                <w:u w:color="auto"/>
              </w:rPr>
              <w:t>液态</w:t>
            </w:r>
            <w:r>
              <w:rPr>
                <w:u/>
              </w:rPr>
            </w:r>
          </w:p>
        </w:tc>
        <w:tc>
          <w:tcPr>
            <w:tcW w:w="1181" w:type="dxa"/>
            <w:vAlign w:val="center"/>
          </w:tcPr>
          <w:p>
            <w:pPr>
              <w:pBdr/>
              <w:ind/>
              <w:jc w:val="center"/>
            </w:pPr>
            <w:r>
              <w:rPr>
                <w:sz w:val="24"/>
                <w:u w:color="auto"/>
              </w:rPr>
              <w:t>氯苯生产装置</w:t>
            </w:r>
            <w:r>
              <w:rPr>
                <w:u/>
              </w:rPr>
            </w:r>
          </w:p>
        </w:tc>
        <w:tc>
          <w:tcPr>
            <w:tcW w:w="1181" w:type="dxa"/>
            <w:vAlign w:val="center"/>
          </w:tcPr>
          <w:p>
            <w:pPr>
              <w:pBdr/>
              <w:ind/>
              <w:jc w:val="center"/>
            </w:pPr>
            <w:r>
              <w:rPr>
                <w:sz w:val="24"/>
                <w:u w:color="auto"/>
              </w:rPr>
              <w:t>PU005</w:t>
            </w:r>
            <w:r>
              <w:rPr>
                <w:u/>
              </w:rPr>
            </w:r>
          </w:p>
        </w:tc>
        <w:tc>
          <w:tcPr>
            <w:tcW w:w="1181" w:type="dxa"/>
            <w:vAlign w:val="center"/>
          </w:tcPr>
          <w:p>
            <w:pPr>
              <w:pBdr/>
              <w:ind/>
              <w:jc w:val="center"/>
            </w:pPr>
            <w:r>
              <w:rPr>
                <w:sz w:val="24"/>
                <w:u w:color="auto"/>
              </w:rPr>
              <w:t>氯化苯精馏</w:t>
            </w:r>
            <w:r>
              <w:rPr>
                <w:u/>
              </w:rPr>
            </w:r>
          </w:p>
        </w:tc>
        <w:tc>
          <w:tcPr>
            <w:tcW w:w="1181" w:type="dxa"/>
            <w:vAlign w:val="center"/>
          </w:tcPr>
          <w:p>
            <w:pPr>
              <w:pBdr/>
              <w:ind/>
              <w:jc w:val="center"/>
            </w:pPr>
            <w:r>
              <w:rPr>
                <w:sz w:val="24"/>
                <w:u w:color="auto"/>
              </w:rPr>
              <w:t>3000</w:t>
            </w:r>
            <w:r>
              <w:rPr>
                <w:u/>
              </w:rPr>
            </w:r>
          </w:p>
        </w:tc>
        <w:tc>
          <w:tcPr>
            <w:tcW w:w="1181" w:type="dxa"/>
            <w:vAlign w:val="center"/>
          </w:tcPr>
          <w:p>
            <w:pPr>
              <w:pBdr/>
              <w:ind/>
              <w:jc w:val="center"/>
            </w:pPr>
            <w:r>
              <w:rPr>
                <w:sz w:val="24"/>
                <w:u w:color="auto"/>
              </w:rPr>
              <w:t>吨</w:t>
            </w:r>
            <w:r>
              <w:rPr>
                <w:u/>
              </w:rPr>
            </w:r>
          </w:p>
        </w:tc>
        <w:tc>
          <w:tcPr>
            <w:tcW w:w="1181" w:type="dxa"/>
            <w:vAlign w:val="center"/>
          </w:tcPr>
          <w:p>
            <w:pPr>
              <w:pBdr/>
              <w:ind/>
              <w:jc w:val="center"/>
            </w:pPr>
            <w:r>
              <w:rPr>
                <w:sz w:val="24"/>
                <w:u w:color="auto"/>
              </w:rPr>
              <w:t>混合二氯苯</w:t>
            </w:r>
            <w:r>
              <w:rPr>
                <w:u/>
              </w:rPr>
            </w:r>
          </w:p>
        </w:tc>
        <w:tc>
          <w:tcPr>
            <w:tcW w:w="1181" w:type="dxa"/>
            <w:vAlign w:val="center"/>
          </w:tcPr>
          <w:p>
            <w:pPr>
              <w:pBdr/>
              <w:ind/>
              <w:jc w:val="center"/>
            </w:pPr>
            <w:r>
              <w:rPr>
                <w:sz w:val="24"/>
                <w:u w:color="auto"/>
              </w:rPr>
              <w:t>TS003</w:t>
            </w:r>
            <w:r>
              <w:rPr>
                <w:u/>
              </w:rPr>
            </w:r>
          </w:p>
        </w:tc>
      </w:tr>
      <w:tr>
        <w:trPr>
          <w:trHeight w:val="850" w:hRule="atLeast"/>
        </w:trPr>
        <w:tc>
          <w:tcPr>
            <w:tcW w:w="1181" w:type="dxa"/>
            <w:vAlign w:val="center"/>
          </w:tcPr>
          <w:p>
            <w:pPr>
              <w:pBdr/>
              <w:ind/>
              <w:jc w:val="center"/>
            </w:pPr>
            <w:r>
              <w:rPr>
                <w:sz w:val="24"/>
                <w:u w:color="auto"/>
              </w:rPr>
              <w:t>HW11</w:t>
            </w:r>
            <w:r>
              <w:rPr>
                <w:u/>
              </w:rPr>
            </w:r>
          </w:p>
        </w:tc>
        <w:tc>
          <w:tcPr>
            <w:tcW w:w="1181" w:type="dxa"/>
            <w:vAlign w:val="center"/>
          </w:tcPr>
          <w:p>
            <w:pPr>
              <w:pBdr/>
              <w:ind/>
              <w:jc w:val="center"/>
            </w:pPr>
            <w:r>
              <w:rPr>
                <w:sz w:val="24"/>
                <w:u w:color="auto"/>
              </w:rPr>
              <w:t>261-026-11</w:t>
            </w:r>
            <w:r>
              <w:rPr>
                <w:u/>
              </w:rPr>
            </w:r>
          </w:p>
        </w:tc>
        <w:tc>
          <w:tcPr>
            <w:tcW w:w="1181" w:type="dxa"/>
            <w:vAlign w:val="center"/>
          </w:tcPr>
          <w:p>
            <w:pPr>
              <w:pBdr/>
              <w:ind/>
              <w:jc w:val="center"/>
            </w:pPr>
            <w:r>
              <w:rPr>
                <w:sz w:val="24"/>
                <w:u w:color="auto"/>
              </w:rPr>
              <w:t>毒性</w:t>
            </w:r>
            <w:r>
              <w:rPr>
                <w:u/>
              </w:rPr>
            </w:r>
          </w:p>
        </w:tc>
        <w:tc>
          <w:tcPr>
            <w:tcW w:w="1181" w:type="dxa"/>
            <w:vAlign w:val="center"/>
          </w:tcPr>
          <w:p>
            <w:pPr>
              <w:pBdr/>
              <w:ind/>
              <w:jc w:val="center"/>
            </w:pPr>
            <w:r>
              <w:rPr>
                <w:sz w:val="24"/>
                <w:u w:color="auto"/>
              </w:rPr>
              <w:t>间位油</w:t>
            </w:r>
            <w:r>
              <w:rPr>
                <w:u/>
              </w:rPr>
            </w:r>
          </w:p>
        </w:tc>
        <w:tc>
          <w:tcPr>
            <w:tcW w:w="1181" w:type="dxa"/>
            <w:vAlign w:val="center"/>
          </w:tcPr>
          <w:p>
            <w:pPr>
              <w:pBdr/>
              <w:ind/>
              <w:jc w:val="center"/>
            </w:pPr>
            <w:r>
              <w:rPr>
                <w:sz w:val="24"/>
                <w:u w:color="auto"/>
              </w:rPr>
              <w:t>半固态</w:t>
            </w:r>
            <w:r>
              <w:rPr>
                <w:u/>
              </w:rPr>
            </w:r>
          </w:p>
        </w:tc>
        <w:tc>
          <w:tcPr>
            <w:tcW w:w="1181" w:type="dxa"/>
            <w:vAlign w:val="center"/>
          </w:tcPr>
          <w:p>
            <w:pPr>
              <w:pBdr/>
              <w:ind/>
              <w:jc w:val="center"/>
            </w:pPr>
            <w:r>
              <w:rPr>
                <w:sz w:val="24"/>
                <w:u w:color="auto"/>
              </w:rPr>
              <w:t>多氯苯分离装置</w:t>
            </w:r>
            <w:r>
              <w:rPr>
                <w:u/>
              </w:rPr>
            </w:r>
          </w:p>
        </w:tc>
        <w:tc>
          <w:tcPr>
            <w:tcW w:w="1181" w:type="dxa"/>
            <w:vAlign w:val="center"/>
          </w:tcPr>
          <w:p>
            <w:pPr>
              <w:pBdr/>
              <w:ind/>
              <w:jc w:val="center"/>
            </w:pPr>
            <w:r>
              <w:rPr>
                <w:sz w:val="24"/>
                <w:u w:color="auto"/>
              </w:rPr>
              <w:t>PU010</w:t>
            </w:r>
            <w:r>
              <w:rPr>
                <w:u/>
              </w:rPr>
            </w:r>
          </w:p>
        </w:tc>
        <w:tc>
          <w:tcPr>
            <w:tcW w:w="1181" w:type="dxa"/>
            <w:vAlign w:val="center"/>
          </w:tcPr>
          <w:p>
            <w:pPr>
              <w:pBdr/>
              <w:ind/>
              <w:jc w:val="center"/>
            </w:pPr>
            <w:r>
              <w:rPr>
                <w:sz w:val="24"/>
                <w:u w:color="auto"/>
              </w:rPr>
              <w:t>二氯苯生产过程中蒸馏及分馏环节</w:t>
            </w:r>
            <w:r>
              <w:rPr>
                <w:u/>
              </w:rPr>
            </w:r>
          </w:p>
        </w:tc>
        <w:tc>
          <w:tcPr>
            <w:tcW w:w="1181" w:type="dxa"/>
            <w:vAlign w:val="center"/>
          </w:tcPr>
          <w:p>
            <w:pPr>
              <w:pBdr/>
              <w:ind/>
              <w:jc w:val="center"/>
            </w:pPr>
            <w:r>
              <w:rPr>
                <w:sz w:val="24"/>
                <w:u w:color="auto"/>
              </w:rPr>
              <w:t>400</w:t>
            </w:r>
            <w:r>
              <w:rPr>
                <w:u/>
              </w:rPr>
            </w:r>
          </w:p>
        </w:tc>
        <w:tc>
          <w:tcPr>
            <w:tcW w:w="1181" w:type="dxa"/>
            <w:vAlign w:val="center"/>
          </w:tcPr>
          <w:p>
            <w:pPr>
              <w:pBdr/>
              <w:ind/>
              <w:jc w:val="center"/>
            </w:pPr>
            <w:r>
              <w:rPr>
                <w:sz w:val="24"/>
                <w:u w:color="auto"/>
              </w:rPr>
              <w:t>吨</w:t>
            </w:r>
            <w:r>
              <w:rPr>
                <w:u/>
              </w:rPr>
            </w:r>
          </w:p>
        </w:tc>
        <w:tc>
          <w:tcPr>
            <w:tcW w:w="1181" w:type="dxa"/>
            <w:vAlign w:val="center"/>
          </w:tcPr>
          <w:p>
            <w:pPr>
              <w:pBdr/>
              <w:ind/>
              <w:jc w:val="center"/>
            </w:pPr>
            <w:r>
              <w:rPr>
                <w:sz w:val="24"/>
                <w:u w:color="auto"/>
              </w:rPr>
              <w:t>危险废物仓库</w:t>
            </w:r>
            <w:r>
              <w:rPr>
                <w:u/>
              </w:rPr>
            </w:r>
          </w:p>
        </w:tc>
        <w:tc>
          <w:tcPr>
            <w:tcW w:w="1181" w:type="dxa"/>
            <w:vAlign w:val="center"/>
          </w:tcPr>
          <w:p>
            <w:pPr>
              <w:pBdr/>
              <w:ind/>
              <w:jc w:val="center"/>
            </w:pPr>
            <w:r>
              <w:rPr>
                <w:sz w:val="24"/>
                <w:u w:color="auto"/>
              </w:rPr>
              <w:t>TS002</w:t>
            </w:r>
            <w:r>
              <w:rPr>
                <w:u/>
              </w:rPr>
            </w:r>
          </w:p>
        </w:tc>
      </w:tr>
      <w:tr>
        <w:trPr>
          <w:trHeight w:val="850" w:hRule="atLeast"/>
        </w:trPr>
        <w:tc>
          <w:tcPr>
            <w:tcW w:w="1181" w:type="dxa"/>
            <w:vAlign w:val="center"/>
          </w:tcPr>
          <w:p>
            <w:pPr>
              <w:pBdr/>
              <w:ind/>
              <w:jc w:val="center"/>
            </w:pPr>
            <w:r>
              <w:rPr>
                <w:sz w:val="24"/>
                <w:u w:color="auto"/>
              </w:rPr>
              <w:t>HW11</w:t>
            </w:r>
            <w:r>
              <w:rPr>
                <w:u/>
              </w:rPr>
            </w:r>
          </w:p>
        </w:tc>
        <w:tc>
          <w:tcPr>
            <w:tcW w:w="1181" w:type="dxa"/>
            <w:vAlign w:val="center"/>
          </w:tcPr>
          <w:p>
            <w:pPr>
              <w:pBdr/>
              <w:ind/>
              <w:jc w:val="center"/>
            </w:pPr>
            <w:r>
              <w:rPr>
                <w:sz w:val="24"/>
                <w:u w:color="auto"/>
              </w:rPr>
              <w:t>261-026-11</w:t>
            </w:r>
            <w:r>
              <w:rPr>
                <w:u/>
              </w:rPr>
            </w:r>
          </w:p>
        </w:tc>
        <w:tc>
          <w:tcPr>
            <w:tcW w:w="1181" w:type="dxa"/>
            <w:vAlign w:val="center"/>
          </w:tcPr>
          <w:p>
            <w:pPr>
              <w:pBdr/>
              <w:ind/>
              <w:jc w:val="center"/>
            </w:pPr>
            <w:r>
              <w:rPr>
                <w:sz w:val="24"/>
                <w:u w:color="auto"/>
              </w:rPr>
              <w:t>毒性</w:t>
            </w:r>
            <w:r>
              <w:rPr>
                <w:u/>
              </w:rPr>
            </w:r>
          </w:p>
        </w:tc>
        <w:tc>
          <w:tcPr>
            <w:tcW w:w="1181" w:type="dxa"/>
            <w:vAlign w:val="center"/>
          </w:tcPr>
          <w:p>
            <w:pPr>
              <w:pBdr/>
              <w:ind/>
              <w:jc w:val="center"/>
            </w:pPr>
            <w:r>
              <w:rPr>
                <w:sz w:val="24"/>
                <w:u w:color="auto"/>
              </w:rPr>
              <w:t>高沸物</w:t>
            </w:r>
            <w:r>
              <w:rPr>
                <w:u/>
              </w:rPr>
            </w:r>
          </w:p>
        </w:tc>
        <w:tc>
          <w:tcPr>
            <w:tcW w:w="1181" w:type="dxa"/>
            <w:vAlign w:val="center"/>
          </w:tcPr>
          <w:p>
            <w:pPr>
              <w:pBdr/>
              <w:ind/>
              <w:jc w:val="center"/>
            </w:pPr>
            <w:r>
              <w:rPr>
                <w:sz w:val="24"/>
                <w:u w:color="auto"/>
              </w:rPr>
              <w:t>半固态</w:t>
            </w:r>
            <w:r>
              <w:rPr>
                <w:u/>
              </w:rPr>
            </w:r>
          </w:p>
        </w:tc>
        <w:tc>
          <w:tcPr>
            <w:tcW w:w="1181" w:type="dxa"/>
            <w:vAlign w:val="center"/>
          </w:tcPr>
          <w:p>
            <w:pPr>
              <w:pBdr/>
              <w:ind/>
              <w:jc w:val="center"/>
            </w:pPr>
            <w:r>
              <w:rPr>
                <w:sz w:val="24"/>
                <w:u w:color="auto"/>
              </w:rPr>
              <w:t>多氯苯分离装置</w:t>
            </w:r>
            <w:r>
              <w:rPr>
                <w:u/>
              </w:rPr>
            </w:r>
          </w:p>
        </w:tc>
        <w:tc>
          <w:tcPr>
            <w:tcW w:w="1181" w:type="dxa"/>
            <w:vAlign w:val="center"/>
          </w:tcPr>
          <w:p>
            <w:pPr>
              <w:pBdr/>
              <w:ind/>
              <w:jc w:val="center"/>
            </w:pPr>
            <w:r>
              <w:rPr>
                <w:sz w:val="24"/>
                <w:u w:color="auto"/>
              </w:rPr>
              <w:t>PU010</w:t>
            </w:r>
            <w:r>
              <w:rPr>
                <w:u/>
              </w:rPr>
            </w:r>
          </w:p>
        </w:tc>
        <w:tc>
          <w:tcPr>
            <w:tcW w:w="1181" w:type="dxa"/>
            <w:vAlign w:val="center"/>
          </w:tcPr>
          <w:p>
            <w:pPr>
              <w:pBdr/>
              <w:ind/>
              <w:jc w:val="center"/>
            </w:pPr>
            <w:r>
              <w:rPr>
                <w:sz w:val="24"/>
                <w:u w:color="auto"/>
              </w:rPr>
              <w:t>二氯苯生产过程中蒸馏及分馏环节</w:t>
            </w:r>
            <w:r>
              <w:rPr>
                <w:u/>
              </w:rPr>
            </w:r>
          </w:p>
        </w:tc>
        <w:tc>
          <w:tcPr>
            <w:tcW w:w="1181" w:type="dxa"/>
            <w:vAlign w:val="center"/>
          </w:tcPr>
          <w:p>
            <w:pPr>
              <w:pBdr/>
              <w:ind/>
              <w:jc w:val="center"/>
            </w:pPr>
            <w:r>
              <w:rPr>
                <w:sz w:val="24"/>
                <w:u w:color="auto"/>
              </w:rPr>
              <w:t>200</w:t>
            </w:r>
            <w:r>
              <w:rPr>
                <w:u/>
              </w:rPr>
            </w:r>
          </w:p>
        </w:tc>
        <w:tc>
          <w:tcPr>
            <w:tcW w:w="1181" w:type="dxa"/>
            <w:vAlign w:val="center"/>
          </w:tcPr>
          <w:p>
            <w:pPr>
              <w:pBdr/>
              <w:ind/>
              <w:jc w:val="center"/>
            </w:pPr>
            <w:r>
              <w:rPr>
                <w:sz w:val="24"/>
                <w:u w:color="auto"/>
              </w:rPr>
              <w:t>吨</w:t>
            </w:r>
            <w:r>
              <w:rPr>
                <w:u/>
              </w:rPr>
            </w:r>
          </w:p>
        </w:tc>
        <w:tc>
          <w:tcPr>
            <w:tcW w:w="1181" w:type="dxa"/>
            <w:vAlign w:val="center"/>
          </w:tcPr>
          <w:p>
            <w:pPr>
              <w:pBdr/>
              <w:ind/>
              <w:jc w:val="center"/>
            </w:pPr>
            <w:r>
              <w:rPr>
                <w:sz w:val="24"/>
                <w:u w:color="auto"/>
              </w:rPr>
              <w:t>危险废物仓库</w:t>
            </w:r>
            <w:r>
              <w:rPr>
                <w:u/>
              </w:rPr>
            </w:r>
          </w:p>
        </w:tc>
        <w:tc>
          <w:tcPr>
            <w:tcW w:w="1181" w:type="dxa"/>
            <w:vAlign w:val="center"/>
          </w:tcPr>
          <w:p>
            <w:pPr>
              <w:pBdr/>
              <w:ind/>
              <w:jc w:val="center"/>
            </w:pPr>
            <w:r>
              <w:rPr>
                <w:sz w:val="24"/>
                <w:u w:color="auto"/>
              </w:rPr>
              <w:t>TS002</w:t>
            </w:r>
            <w:r>
              <w:rPr>
                <w:u/>
              </w:rPr>
            </w:r>
          </w:p>
        </w:tc>
      </w:tr>
      <w:tr>
        <w:trPr>
          <w:trHeight w:val="850" w:hRule="atLeast"/>
        </w:trPr>
        <w:tc>
          <w:tcPr>
            <w:tcW w:w="1181" w:type="dxa"/>
            <w:vAlign w:val="center"/>
          </w:tcPr>
          <w:p>
            <w:pPr>
              <w:pBdr/>
              <w:ind/>
              <w:jc w:val="center"/>
            </w:pPr>
            <w:r>
              <w:rPr>
                <w:sz w:val="24"/>
                <w:u w:color="auto"/>
              </w:rPr>
              <w:t>HW34</w:t>
            </w:r>
            <w:r>
              <w:rPr>
                <w:u/>
              </w:rPr>
            </w:r>
          </w:p>
        </w:tc>
        <w:tc>
          <w:tcPr>
            <w:tcW w:w="1181" w:type="dxa"/>
            <w:vAlign w:val="center"/>
          </w:tcPr>
          <w:p>
            <w:pPr>
              <w:pBdr/>
              <w:ind/>
              <w:jc w:val="center"/>
            </w:pPr>
            <w:r>
              <w:rPr>
                <w:sz w:val="24"/>
                <w:u w:color="auto"/>
              </w:rPr>
              <w:t>261-058-34</w:t>
            </w:r>
            <w:r>
              <w:rPr>
                <w:u/>
              </w:rPr>
            </w:r>
          </w:p>
        </w:tc>
        <w:tc>
          <w:tcPr>
            <w:tcW w:w="1181" w:type="dxa"/>
            <w:vAlign w:val="center"/>
          </w:tcPr>
          <w:p>
            <w:pPr>
              <w:pBdr/>
              <w:ind/>
              <w:jc w:val="center"/>
            </w:pPr>
            <w:r>
              <w:rPr>
                <w:sz w:val="24"/>
                <w:u w:color="auto"/>
              </w:rPr>
              <w:t>腐蚀性</w:t>
            </w:r>
            <w:r>
              <w:rPr>
                <w:u/>
              </w:rPr>
            </w:r>
          </w:p>
        </w:tc>
        <w:tc>
          <w:tcPr>
            <w:tcW w:w="1181" w:type="dxa"/>
            <w:vAlign w:val="center"/>
          </w:tcPr>
          <w:p>
            <w:pPr>
              <w:pBdr/>
              <w:ind/>
              <w:jc w:val="center"/>
            </w:pPr>
            <w:r>
              <w:rPr>
                <w:sz w:val="24"/>
                <w:u w:color="auto"/>
              </w:rPr>
              <w:t>废硫酸</w:t>
            </w:r>
            <w:r>
              <w:rPr>
                <w:u/>
              </w:rPr>
            </w:r>
          </w:p>
        </w:tc>
        <w:tc>
          <w:tcPr>
            <w:tcW w:w="1181" w:type="dxa"/>
            <w:vAlign w:val="center"/>
          </w:tcPr>
          <w:p>
            <w:pPr>
              <w:pBdr/>
              <w:ind/>
              <w:jc w:val="center"/>
            </w:pPr>
            <w:r>
              <w:rPr>
                <w:sz w:val="24"/>
                <w:u w:color="auto"/>
              </w:rPr>
              <w:t>液态</w:t>
            </w:r>
            <w:r>
              <w:rPr>
                <w:u/>
              </w:rPr>
            </w:r>
          </w:p>
        </w:tc>
        <w:tc>
          <w:tcPr>
            <w:tcW w:w="1181" w:type="dxa"/>
            <w:vAlign w:val="center"/>
          </w:tcPr>
          <w:p>
            <w:pPr>
              <w:pBdr/>
              <w:ind/>
              <w:jc w:val="center"/>
            </w:pPr>
            <w:r>
              <w:rPr>
                <w:sz w:val="24"/>
                <w:u w:color="auto"/>
              </w:rPr>
              <w:t>烧碱装置</w:t>
            </w:r>
            <w:r>
              <w:rPr>
                <w:u/>
              </w:rPr>
            </w:r>
          </w:p>
        </w:tc>
        <w:tc>
          <w:tcPr>
            <w:tcW w:w="1181" w:type="dxa"/>
            <w:vAlign w:val="center"/>
          </w:tcPr>
          <w:p>
            <w:pPr>
              <w:pBdr/>
              <w:ind/>
              <w:jc w:val="center"/>
            </w:pPr>
            <w:r>
              <w:rPr>
                <w:sz w:val="24"/>
                <w:u w:color="auto"/>
              </w:rPr>
              <w:t>PU009/PU012/PU013</w:t>
            </w:r>
            <w:r>
              <w:rPr>
                <w:u/>
              </w:rPr>
            </w:r>
          </w:p>
        </w:tc>
        <w:tc>
          <w:tcPr>
            <w:tcW w:w="1181" w:type="dxa"/>
            <w:vAlign w:val="center"/>
          </w:tcPr>
          <w:p>
            <w:pPr>
              <w:pBdr/>
              <w:ind/>
              <w:jc w:val="center"/>
            </w:pPr>
            <w:r>
              <w:rPr>
                <w:sz w:val="24"/>
                <w:u w:color="auto"/>
              </w:rPr>
              <w:t>氯气处理工序</w:t>
            </w:r>
            <w:r>
              <w:rPr>
                <w:u/>
              </w:rPr>
            </w:r>
          </w:p>
        </w:tc>
        <w:tc>
          <w:tcPr>
            <w:tcW w:w="1181" w:type="dxa"/>
            <w:vAlign w:val="center"/>
          </w:tcPr>
          <w:p>
            <w:pPr>
              <w:pBdr/>
              <w:ind/>
              <w:jc w:val="center"/>
            </w:pPr>
            <w:r>
              <w:rPr>
                <w:sz w:val="24"/>
                <w:u w:color="auto"/>
              </w:rPr>
              <w:t>4500</w:t>
            </w:r>
            <w:r>
              <w:rPr>
                <w:u/>
              </w:rPr>
            </w:r>
          </w:p>
        </w:tc>
        <w:tc>
          <w:tcPr>
            <w:tcW w:w="1181" w:type="dxa"/>
            <w:vAlign w:val="center"/>
          </w:tcPr>
          <w:p>
            <w:pPr>
              <w:pBdr/>
              <w:ind/>
              <w:jc w:val="center"/>
            </w:pPr>
            <w:r>
              <w:rPr>
                <w:sz w:val="24"/>
                <w:u w:color="auto"/>
              </w:rPr>
              <w:t>吨</w:t>
            </w:r>
            <w:r>
              <w:rPr>
                <w:u/>
              </w:rPr>
            </w:r>
          </w:p>
        </w:tc>
        <w:tc>
          <w:tcPr>
            <w:tcW w:w="1181" w:type="dxa"/>
            <w:vAlign w:val="center"/>
          </w:tcPr>
          <w:p>
            <w:pPr>
              <w:pBdr/>
              <w:ind/>
              <w:jc w:val="center"/>
            </w:pPr>
            <w:r>
              <w:rPr>
                <w:sz w:val="24"/>
                <w:u w:color="auto"/>
              </w:rPr>
              <w:t>废酸储罐</w:t>
            </w:r>
            <w:r>
              <w:rPr>
                <w:u/>
              </w:rPr>
            </w:r>
          </w:p>
        </w:tc>
        <w:tc>
          <w:tcPr>
            <w:tcW w:w="1181" w:type="dxa"/>
            <w:vAlign w:val="center"/>
          </w:tcPr>
          <w:p>
            <w:pPr>
              <w:pBdr/>
              <w:ind/>
              <w:jc w:val="center"/>
            </w:pPr>
            <w:r>
              <w:rPr>
                <w:sz w:val="24"/>
                <w:u w:color="auto"/>
              </w:rPr>
              <w:t>TS001</w:t>
            </w:r>
            <w:r>
              <w:rPr>
                <w:u/>
              </w:rPr>
            </w:r>
          </w:p>
        </w:tc>
      </w:tr>
      <w:tr>
        <w:trPr>
          <w:trHeight w:val="850" w:hRule="atLeast"/>
        </w:trPr>
        <w:tc>
          <w:tcPr>
            <w:tcW w:w="1181" w:type="dxa"/>
            <w:vAlign w:val="center"/>
          </w:tcPr>
          <w:p>
            <w:pPr>
              <w:pBdr/>
              <w:ind/>
              <w:jc w:val="center"/>
            </w:pPr>
            <w:r>
              <w:rPr>
                <w:sz w:val="24"/>
                <w:u w:color="auto"/>
              </w:rPr>
              <w:t>HW45</w:t>
            </w:r>
            <w:r>
              <w:rPr>
                <w:u/>
              </w:rPr>
            </w:r>
          </w:p>
        </w:tc>
        <w:tc>
          <w:tcPr>
            <w:tcW w:w="1181" w:type="dxa"/>
            <w:vAlign w:val="center"/>
          </w:tcPr>
          <w:p>
            <w:pPr>
              <w:pBdr/>
              <w:ind/>
              <w:jc w:val="center"/>
            </w:pPr>
            <w:r>
              <w:rPr>
                <w:sz w:val="24"/>
                <w:u w:color="auto"/>
              </w:rPr>
              <w:t>261-084-45</w:t>
            </w:r>
            <w:r>
              <w:rPr>
                <w:u/>
              </w:rPr>
            </w:r>
          </w:p>
        </w:tc>
        <w:tc>
          <w:tcPr>
            <w:tcW w:w="1181" w:type="dxa"/>
            <w:vAlign w:val="center"/>
          </w:tcPr>
          <w:p>
            <w:pPr>
              <w:pBdr/>
              <w:ind/>
              <w:jc w:val="center"/>
            </w:pPr>
            <w:r>
              <w:rPr>
                <w:sz w:val="24"/>
                <w:u w:color="auto"/>
              </w:rPr>
              <w:t>毒性</w:t>
            </w:r>
            <w:r>
              <w:rPr>
                <w:u/>
              </w:rPr>
            </w:r>
          </w:p>
        </w:tc>
        <w:tc>
          <w:tcPr>
            <w:tcW w:w="1181" w:type="dxa"/>
            <w:vAlign w:val="center"/>
          </w:tcPr>
          <w:p>
            <w:pPr>
              <w:pBdr/>
              <w:ind/>
              <w:jc w:val="center"/>
            </w:pPr>
            <w:r>
              <w:rPr>
                <w:sz w:val="24"/>
                <w:u w:color="auto"/>
              </w:rPr>
              <w:t>污泥</w:t>
            </w:r>
            <w:r>
              <w:rPr>
                <w:u/>
              </w:rPr>
            </w:r>
          </w:p>
        </w:tc>
        <w:tc>
          <w:tcPr>
            <w:tcW w:w="1181" w:type="dxa"/>
            <w:vAlign w:val="center"/>
          </w:tcPr>
          <w:p>
            <w:pPr>
              <w:pBdr/>
              <w:ind/>
              <w:jc w:val="center"/>
            </w:pPr>
            <w:r>
              <w:rPr>
                <w:sz w:val="24"/>
                <w:u w:color="auto"/>
              </w:rPr>
              <w:t>半固态</w:t>
            </w:r>
            <w:r>
              <w:rPr>
                <w:u/>
              </w:rPr>
            </w:r>
          </w:p>
        </w:tc>
        <w:tc>
          <w:tcPr>
            <w:tcW w:w="1181" w:type="dxa"/>
            <w:vAlign w:val="center"/>
          </w:tcPr>
          <w:p>
            <w:pPr>
              <w:pBdr/>
              <w:ind/>
              <w:jc w:val="center"/>
            </w:pPr>
            <w:r>
              <w:rPr>
                <w:sz w:val="24"/>
                <w:u w:color="auto"/>
              </w:rPr>
              <w:t>污水处理装置</w:t>
            </w:r>
            <w:r>
              <w:rPr>
                <w:u/>
              </w:rPr>
            </w:r>
          </w:p>
        </w:tc>
        <w:tc>
          <w:tcPr>
            <w:tcW w:w="1181" w:type="dxa"/>
            <w:vAlign w:val="center"/>
          </w:tcPr>
          <w:p>
            <w:pPr>
              <w:pBdr/>
              <w:ind/>
              <w:jc w:val="center"/>
            </w:pPr>
            <w:r>
              <w:rPr>
                <w:sz w:val="24"/>
                <w:u w:color="auto"/>
              </w:rPr>
              <w:t>PU004</w:t>
            </w:r>
            <w:r>
              <w:rPr>
                <w:u/>
              </w:rPr>
            </w:r>
          </w:p>
        </w:tc>
        <w:tc>
          <w:tcPr>
            <w:tcW w:w="1181" w:type="dxa"/>
            <w:vAlign w:val="center"/>
          </w:tcPr>
          <w:p>
            <w:pPr>
              <w:pBdr/>
              <w:ind/>
              <w:jc w:val="center"/>
            </w:pPr>
            <w:r>
              <w:rPr>
                <w:sz w:val="24"/>
                <w:u w:color="auto"/>
              </w:rPr>
              <w:t>氯化苯废水处理污泥</w:t>
            </w:r>
            <w:r>
              <w:rPr>
                <w:u/>
              </w:rPr>
            </w:r>
          </w:p>
        </w:tc>
        <w:tc>
          <w:tcPr>
            <w:tcW w:w="1181" w:type="dxa"/>
            <w:vAlign w:val="center"/>
          </w:tcPr>
          <w:p>
            <w:pPr>
              <w:pBdr/>
              <w:ind/>
              <w:jc w:val="center"/>
            </w:pPr>
            <w:r>
              <w:rPr>
                <w:sz w:val="24"/>
                <w:u w:color="auto"/>
              </w:rPr>
              <w:t>500</w:t>
            </w:r>
            <w:r>
              <w:rPr>
                <w:u/>
              </w:rPr>
            </w:r>
          </w:p>
        </w:tc>
        <w:tc>
          <w:tcPr>
            <w:tcW w:w="1181" w:type="dxa"/>
            <w:vAlign w:val="center"/>
          </w:tcPr>
          <w:p>
            <w:pPr>
              <w:pBdr/>
              <w:ind/>
              <w:jc w:val="center"/>
            </w:pPr>
            <w:r>
              <w:rPr>
                <w:sz w:val="24"/>
                <w:u w:color="auto"/>
              </w:rPr>
              <w:t>吨</w:t>
            </w:r>
            <w:r>
              <w:rPr>
                <w:u/>
              </w:rPr>
            </w:r>
          </w:p>
        </w:tc>
        <w:tc>
          <w:tcPr>
            <w:tcW w:w="1181" w:type="dxa"/>
            <w:vAlign w:val="center"/>
          </w:tcPr>
          <w:p>
            <w:pPr>
              <w:pBdr/>
              <w:ind/>
              <w:jc w:val="center"/>
            </w:pPr>
            <w:r>
              <w:rPr>
                <w:sz w:val="24"/>
                <w:u w:color="auto"/>
              </w:rPr>
              <w:t>危险废物仓库</w:t>
            </w:r>
            <w:r>
              <w:rPr>
                <w:u/>
              </w:rPr>
            </w:r>
          </w:p>
        </w:tc>
        <w:tc>
          <w:tcPr>
            <w:tcW w:w="1181" w:type="dxa"/>
            <w:vAlign w:val="center"/>
          </w:tcPr>
          <w:p>
            <w:pPr>
              <w:pBdr/>
              <w:ind/>
              <w:jc w:val="center"/>
            </w:pPr>
            <w:r>
              <w:rPr>
                <w:sz w:val="24"/>
                <w:u w:color="auto"/>
              </w:rPr>
              <w:t>TS002</w:t>
            </w:r>
            <w:r>
              <w:rPr>
                <w:u/>
              </w:rPr>
            </w:r>
          </w:p>
        </w:tc>
      </w:tr>
      <w:tr>
        <w:trPr>
          <w:trHeight w:val="850" w:hRule="atLeast"/>
        </w:trPr>
        <w:tc>
          <w:tcPr>
            <w:tcW w:w="1181" w:type="dxa"/>
            <w:vAlign w:val="center"/>
          </w:tcPr>
          <w:p>
            <w:pPr>
              <w:pBdr/>
              <w:ind/>
              <w:jc w:val="center"/>
            </w:pPr>
            <w:r>
              <w:rPr>
                <w:sz w:val="24"/>
                <w:u w:color="auto"/>
              </w:rPr>
              <w:t>HW50</w:t>
            </w:r>
            <w:r>
              <w:rPr>
                <w:u/>
              </w:rPr>
            </w:r>
          </w:p>
        </w:tc>
        <w:tc>
          <w:tcPr>
            <w:tcW w:w="1181" w:type="dxa"/>
            <w:vAlign w:val="center"/>
          </w:tcPr>
          <w:p>
            <w:pPr>
              <w:pBdr/>
              <w:ind/>
              <w:jc w:val="center"/>
            </w:pPr>
            <w:r>
              <w:rPr>
                <w:sz w:val="24"/>
                <w:u w:color="auto"/>
              </w:rPr>
              <w:t>261-152-50</w:t>
            </w:r>
            <w:r>
              <w:rPr>
                <w:u/>
              </w:rPr>
            </w:r>
          </w:p>
        </w:tc>
        <w:tc>
          <w:tcPr>
            <w:tcW w:w="1181" w:type="dxa"/>
            <w:vAlign w:val="center"/>
          </w:tcPr>
          <w:p>
            <w:pPr>
              <w:pBdr/>
              <w:ind/>
              <w:jc w:val="center"/>
            </w:pPr>
            <w:r>
              <w:rPr>
                <w:sz w:val="24"/>
                <w:u w:color="auto"/>
              </w:rPr>
              <w:t>毒性</w:t>
            </w:r>
            <w:r>
              <w:rPr>
                <w:u/>
              </w:rPr>
            </w:r>
          </w:p>
        </w:tc>
        <w:tc>
          <w:tcPr>
            <w:tcW w:w="1181" w:type="dxa"/>
            <w:vAlign w:val="center"/>
          </w:tcPr>
          <w:p>
            <w:pPr>
              <w:pBdr/>
              <w:ind/>
              <w:jc w:val="center"/>
            </w:pPr>
            <w:r>
              <w:rPr>
                <w:sz w:val="24"/>
                <w:u w:color="auto"/>
              </w:rPr>
              <w:t>压滤固废</w:t>
            </w:r>
            <w:r>
              <w:rPr>
                <w:u/>
              </w:rPr>
            </w:r>
          </w:p>
        </w:tc>
        <w:tc>
          <w:tcPr>
            <w:tcW w:w="1181" w:type="dxa"/>
            <w:vAlign w:val="center"/>
          </w:tcPr>
          <w:p>
            <w:pPr>
              <w:pBdr/>
              <w:ind/>
              <w:jc w:val="center"/>
            </w:pPr>
            <w:r>
              <w:rPr>
                <w:sz w:val="24"/>
                <w:u w:color="auto"/>
              </w:rPr>
              <w:t>固态</w:t>
            </w:r>
            <w:r>
              <w:rPr>
                <w:u/>
              </w:rPr>
            </w:r>
          </w:p>
        </w:tc>
        <w:tc>
          <w:tcPr>
            <w:tcW w:w="1181" w:type="dxa"/>
            <w:vAlign w:val="center"/>
          </w:tcPr>
          <w:p>
            <w:pPr>
              <w:pBdr/>
              <w:ind/>
              <w:jc w:val="center"/>
            </w:pPr>
            <w:r>
              <w:rPr>
                <w:sz w:val="24"/>
                <w:u w:color="auto"/>
              </w:rPr>
              <w:t>二苯醚生产装置</w:t>
            </w:r>
            <w:r>
              <w:rPr>
                <w:u/>
              </w:rPr>
            </w:r>
          </w:p>
        </w:tc>
        <w:tc>
          <w:tcPr>
            <w:tcW w:w="1181" w:type="dxa"/>
            <w:vAlign w:val="center"/>
          </w:tcPr>
          <w:p>
            <w:pPr>
              <w:pBdr/>
              <w:ind/>
              <w:jc w:val="center"/>
            </w:pPr>
            <w:r>
              <w:rPr>
                <w:sz w:val="24"/>
                <w:u w:color="auto"/>
              </w:rPr>
              <w:t>PU003</w:t>
            </w:r>
            <w:r>
              <w:rPr>
                <w:u/>
              </w:rPr>
            </w:r>
          </w:p>
        </w:tc>
        <w:tc>
          <w:tcPr>
            <w:tcW w:w="1181" w:type="dxa"/>
            <w:vAlign w:val="center"/>
          </w:tcPr>
          <w:p>
            <w:pPr>
              <w:pBdr/>
              <w:ind/>
              <w:jc w:val="center"/>
            </w:pPr>
            <w:r>
              <w:rPr>
                <w:sz w:val="24"/>
                <w:u w:color="auto"/>
              </w:rPr>
              <w:t>氯化钾精制压滤机</w:t>
            </w:r>
            <w:r>
              <w:rPr>
                <w:u/>
              </w:rPr>
            </w:r>
          </w:p>
        </w:tc>
        <w:tc>
          <w:tcPr>
            <w:tcW w:w="1181" w:type="dxa"/>
            <w:vAlign w:val="center"/>
          </w:tcPr>
          <w:p>
            <w:pPr>
              <w:pBdr/>
              <w:ind/>
              <w:jc w:val="center"/>
            </w:pPr>
            <w:r>
              <w:rPr>
                <w:sz w:val="24"/>
                <w:u w:color="auto"/>
              </w:rPr>
              <w:t>60</w:t>
            </w:r>
            <w:r>
              <w:rPr>
                <w:u/>
              </w:rPr>
            </w:r>
          </w:p>
        </w:tc>
        <w:tc>
          <w:tcPr>
            <w:tcW w:w="1181" w:type="dxa"/>
            <w:vAlign w:val="center"/>
          </w:tcPr>
          <w:p>
            <w:pPr>
              <w:pBdr/>
              <w:ind/>
              <w:jc w:val="center"/>
            </w:pPr>
            <w:r>
              <w:rPr>
                <w:sz w:val="24"/>
                <w:u w:color="auto"/>
              </w:rPr>
              <w:t>吨</w:t>
            </w:r>
            <w:r>
              <w:rPr>
                <w:u/>
              </w:rPr>
            </w:r>
          </w:p>
        </w:tc>
        <w:tc>
          <w:tcPr>
            <w:tcW w:w="1181" w:type="dxa"/>
            <w:vAlign w:val="center"/>
          </w:tcPr>
          <w:p>
            <w:pPr>
              <w:pBdr/>
              <w:ind/>
              <w:jc w:val="center"/>
            </w:pPr>
            <w:r>
              <w:rPr>
                <w:sz w:val="24"/>
                <w:u w:color="auto"/>
              </w:rPr>
              <w:t>危险废物仓库</w:t>
            </w:r>
            <w:r>
              <w:rPr>
                <w:u/>
              </w:rPr>
            </w:r>
          </w:p>
        </w:tc>
        <w:tc>
          <w:tcPr>
            <w:tcW w:w="1181" w:type="dxa"/>
            <w:vAlign w:val="center"/>
          </w:tcPr>
          <w:p>
            <w:pPr>
              <w:pBdr/>
              <w:ind/>
              <w:jc w:val="center"/>
            </w:pPr>
            <w:r>
              <w:rPr>
                <w:sz w:val="24"/>
                <w:u w:color="auto"/>
              </w:rPr>
              <w:t>TS002</w:t>
            </w:r>
            <w:r>
              <w:rPr>
                <w:u/>
              </w:rPr>
            </w:r>
          </w:p>
        </w:tc>
      </w:tr>
      <w:tr>
        <w:trPr>
          <w:trHeight w:val="850" w:hRule="atLeast"/>
        </w:trPr>
        <w:tc>
          <w:tcPr>
            <w:tcW w:w="1181" w:type="dxa"/>
            <w:vAlign w:val="center"/>
          </w:tcPr>
          <w:p>
            <w:pPr>
              <w:pBdr/>
              <w:ind/>
              <w:jc w:val="center"/>
            </w:pPr>
            <w:r>
              <w:rPr>
                <w:sz w:val="24"/>
                <w:u w:color="auto"/>
              </w:rPr>
              <w:t>HW49</w:t>
            </w:r>
            <w:r>
              <w:rPr>
                <w:u/>
              </w:rPr>
            </w:r>
          </w:p>
        </w:tc>
        <w:tc>
          <w:tcPr>
            <w:tcW w:w="1181" w:type="dxa"/>
            <w:vAlign w:val="center"/>
          </w:tcPr>
          <w:p>
            <w:pPr>
              <w:pBdr/>
              <w:ind/>
              <w:jc w:val="center"/>
            </w:pPr>
            <w:r>
              <w:rPr>
                <w:sz w:val="24"/>
                <w:u w:color="auto"/>
              </w:rPr>
              <w:t>772-006-49</w:t>
            </w:r>
            <w:r>
              <w:rPr>
                <w:u/>
              </w:rPr>
            </w:r>
          </w:p>
        </w:tc>
        <w:tc>
          <w:tcPr>
            <w:tcW w:w="1181" w:type="dxa"/>
            <w:vAlign w:val="center"/>
          </w:tcPr>
          <w:p>
            <w:pPr>
              <w:pBdr/>
              <w:ind/>
              <w:jc w:val="center"/>
            </w:pPr>
            <w:r>
              <w:rPr>
                <w:sz w:val="24"/>
                <w:u w:color="auto"/>
              </w:rPr>
              <w:t>毒性</w:t>
            </w:r>
            <w:r>
              <w:rPr>
                <w:u/>
              </w:rPr>
            </w:r>
          </w:p>
        </w:tc>
        <w:tc>
          <w:tcPr>
            <w:tcW w:w="1181" w:type="dxa"/>
            <w:vAlign w:val="center"/>
          </w:tcPr>
          <w:p>
            <w:pPr>
              <w:pBdr/>
              <w:ind/>
              <w:jc w:val="center"/>
            </w:pPr>
            <w:r>
              <w:rPr>
                <w:sz w:val="24"/>
                <w:u w:color="auto"/>
              </w:rPr>
              <w:t>废水处理残渣</w:t>
            </w:r>
            <w:r>
              <w:rPr>
                <w:u/>
              </w:rPr>
            </w:r>
          </w:p>
        </w:tc>
        <w:tc>
          <w:tcPr>
            <w:tcW w:w="1181" w:type="dxa"/>
            <w:vAlign w:val="center"/>
          </w:tcPr>
          <w:p>
            <w:pPr>
              <w:pBdr/>
              <w:ind/>
              <w:jc w:val="center"/>
            </w:pPr>
            <w:r>
              <w:rPr>
                <w:sz w:val="24"/>
                <w:u w:color="auto"/>
              </w:rPr>
              <w:t>半固态</w:t>
            </w:r>
            <w:r>
              <w:rPr>
                <w:u/>
              </w:rPr>
            </w:r>
          </w:p>
        </w:tc>
        <w:tc>
          <w:tcPr>
            <w:tcW w:w="1181" w:type="dxa"/>
            <w:vAlign w:val="center"/>
          </w:tcPr>
          <w:p>
            <w:pPr>
              <w:pBdr/>
              <w:ind/>
              <w:jc w:val="center"/>
            </w:pPr>
            <w:r>
              <w:rPr>
                <w:sz w:val="24"/>
                <w:u w:color="auto"/>
              </w:rPr>
              <w:t>污水处理装置</w:t>
            </w:r>
            <w:r>
              <w:rPr>
                <w:u/>
              </w:rPr>
            </w:r>
          </w:p>
        </w:tc>
        <w:tc>
          <w:tcPr>
            <w:tcW w:w="1181" w:type="dxa"/>
            <w:vAlign w:val="center"/>
          </w:tcPr>
          <w:p>
            <w:pPr>
              <w:pBdr/>
              <w:ind/>
              <w:jc w:val="center"/>
            </w:pPr>
            <w:r>
              <w:rPr>
                <w:sz w:val="24"/>
                <w:u w:color="auto"/>
              </w:rPr>
              <w:t>PU004</w:t>
            </w:r>
            <w:r>
              <w:rPr>
                <w:u/>
              </w:rPr>
            </w:r>
          </w:p>
        </w:tc>
        <w:tc>
          <w:tcPr>
            <w:tcW w:w="1181" w:type="dxa"/>
            <w:vAlign w:val="center"/>
          </w:tcPr>
          <w:p>
            <w:pPr>
              <w:pBdr/>
              <w:ind/>
              <w:jc w:val="center"/>
            </w:pPr>
            <w:r>
              <w:rPr>
                <w:sz w:val="24"/>
                <w:u w:color="auto"/>
              </w:rPr>
              <w:t>双效蒸发工序</w:t>
            </w:r>
            <w:r>
              <w:rPr>
                <w:u/>
              </w:rPr>
            </w:r>
          </w:p>
        </w:tc>
        <w:tc>
          <w:tcPr>
            <w:tcW w:w="1181" w:type="dxa"/>
            <w:vAlign w:val="center"/>
          </w:tcPr>
          <w:p>
            <w:pPr>
              <w:pBdr/>
              <w:ind/>
              <w:jc w:val="center"/>
            </w:pPr>
            <w:r>
              <w:rPr>
                <w:sz w:val="24"/>
                <w:u w:color="auto"/>
              </w:rPr>
              <w:t>2000</w:t>
            </w:r>
            <w:r>
              <w:rPr>
                <w:u/>
              </w:rPr>
            </w:r>
          </w:p>
        </w:tc>
        <w:tc>
          <w:tcPr>
            <w:tcW w:w="1181" w:type="dxa"/>
            <w:vAlign w:val="center"/>
          </w:tcPr>
          <w:p>
            <w:pPr>
              <w:pBdr/>
              <w:ind/>
              <w:jc w:val="center"/>
            </w:pPr>
            <w:r>
              <w:rPr>
                <w:sz w:val="24"/>
                <w:u w:color="auto"/>
              </w:rPr>
              <w:t>吨</w:t>
            </w:r>
            <w:r>
              <w:rPr>
                <w:u/>
              </w:rPr>
            </w:r>
          </w:p>
        </w:tc>
        <w:tc>
          <w:tcPr>
            <w:tcW w:w="1181" w:type="dxa"/>
            <w:vAlign w:val="center"/>
          </w:tcPr>
          <w:p>
            <w:pPr>
              <w:pBdr/>
              <w:ind/>
              <w:jc w:val="center"/>
            </w:pPr>
            <w:r>
              <w:rPr>
                <w:sz w:val="24"/>
                <w:u w:color="auto"/>
              </w:rPr>
              <w:t>危险废物仓库</w:t>
            </w:r>
            <w:r>
              <w:rPr>
                <w:u/>
              </w:rPr>
            </w:r>
          </w:p>
        </w:tc>
        <w:tc>
          <w:tcPr>
            <w:tcW w:w="1181" w:type="dxa"/>
            <w:vAlign w:val="center"/>
          </w:tcPr>
          <w:p>
            <w:pPr>
              <w:pBdr/>
              <w:ind/>
              <w:jc w:val="center"/>
            </w:pPr>
            <w:r>
              <w:rPr>
                <w:sz w:val="24"/>
                <w:u w:color="auto"/>
              </w:rPr>
              <w:t>TS002</w:t>
            </w:r>
            <w:r>
              <w:rPr>
                <w:u/>
              </w:rPr>
            </w:r>
          </w:p>
        </w:tc>
      </w:tr>
      <w:tr>
        <w:trPr>
          <w:trHeight w:val="850" w:hRule="atLeast"/>
        </w:trPr>
        <w:tc>
          <w:tcPr>
            <w:tcW w:w="1181" w:type="dxa"/>
            <w:vAlign w:val="center"/>
          </w:tcPr>
          <w:p>
            <w:pPr>
              <w:pBdr/>
              <w:ind/>
              <w:jc w:val="center"/>
            </w:pPr>
            <w:r>
              <w:rPr>
                <w:sz w:val="24"/>
                <w:u w:color="auto"/>
              </w:rPr>
              <w:t>HW11</w:t>
            </w:r>
            <w:r>
              <w:rPr>
                <w:u/>
              </w:rPr>
            </w:r>
          </w:p>
        </w:tc>
        <w:tc>
          <w:tcPr>
            <w:tcW w:w="1181" w:type="dxa"/>
            <w:vAlign w:val="center"/>
          </w:tcPr>
          <w:p>
            <w:pPr>
              <w:pBdr/>
              <w:ind/>
              <w:jc w:val="center"/>
            </w:pPr>
            <w:r>
              <w:rPr>
                <w:sz w:val="24"/>
                <w:u w:color="auto"/>
              </w:rPr>
              <w:t>900-013-11</w:t>
            </w:r>
            <w:r>
              <w:rPr>
                <w:u/>
              </w:rPr>
            </w:r>
          </w:p>
        </w:tc>
        <w:tc>
          <w:tcPr>
            <w:tcW w:w="1181" w:type="dxa"/>
            <w:vAlign w:val="center"/>
          </w:tcPr>
          <w:p>
            <w:pPr>
              <w:pBdr/>
              <w:ind/>
              <w:jc w:val="center"/>
            </w:pPr>
            <w:r>
              <w:rPr>
                <w:sz w:val="24"/>
                <w:u w:color="auto"/>
              </w:rPr>
              <w:t>毒性</w:t>
            </w:r>
            <w:r>
              <w:rPr>
                <w:u/>
              </w:rPr>
            </w:r>
          </w:p>
        </w:tc>
        <w:tc>
          <w:tcPr>
            <w:tcW w:w="1181" w:type="dxa"/>
            <w:vAlign w:val="center"/>
          </w:tcPr>
          <w:p>
            <w:pPr>
              <w:pBdr/>
              <w:ind/>
              <w:jc w:val="center"/>
            </w:pPr>
            <w:r>
              <w:rPr>
                <w:sz w:val="24"/>
                <w:u w:color="auto"/>
              </w:rPr>
              <w:t>产品精制焦油（精蒸馏残渣）</w:t>
            </w:r>
            <w:r>
              <w:rPr>
                <w:u/>
              </w:rPr>
            </w:r>
          </w:p>
        </w:tc>
        <w:tc>
          <w:tcPr>
            <w:tcW w:w="1181" w:type="dxa"/>
            <w:vAlign w:val="center"/>
          </w:tcPr>
          <w:p>
            <w:pPr>
              <w:pBdr/>
              <w:ind/>
              <w:jc w:val="center"/>
            </w:pPr>
            <w:r>
              <w:rPr>
                <w:sz w:val="24"/>
                <w:u w:color="auto"/>
              </w:rPr>
              <w:t>液态</w:t>
            </w:r>
            <w:r>
              <w:rPr>
                <w:u/>
              </w:rPr>
            </w:r>
          </w:p>
        </w:tc>
        <w:tc>
          <w:tcPr>
            <w:tcW w:w="1181" w:type="dxa"/>
            <w:vAlign w:val="center"/>
          </w:tcPr>
          <w:p>
            <w:pPr>
              <w:pBdr/>
              <w:ind/>
              <w:jc w:val="center"/>
            </w:pPr>
            <w:r>
              <w:rPr>
                <w:sz w:val="24"/>
                <w:u w:color="auto"/>
              </w:rPr>
              <w:t>硝基氯苯生产装置</w:t>
            </w:r>
            <w:r>
              <w:rPr>
                <w:u/>
              </w:rPr>
            </w:r>
          </w:p>
        </w:tc>
        <w:tc>
          <w:tcPr>
            <w:tcW w:w="1181" w:type="dxa"/>
            <w:vAlign w:val="center"/>
          </w:tcPr>
          <w:p>
            <w:pPr>
              <w:pBdr/>
              <w:ind/>
              <w:jc w:val="center"/>
            </w:pPr>
            <w:r>
              <w:rPr>
                <w:sz w:val="24"/>
                <w:u w:color="auto"/>
              </w:rPr>
              <w:t>PU007</w:t>
            </w:r>
            <w:r>
              <w:rPr>
                <w:u/>
              </w:rPr>
            </w:r>
          </w:p>
        </w:tc>
        <w:tc>
          <w:tcPr>
            <w:tcW w:w="1181" w:type="dxa"/>
            <w:vAlign w:val="center"/>
          </w:tcPr>
          <w:p>
            <w:pPr>
              <w:pBdr/>
              <w:ind/>
              <w:jc w:val="center"/>
            </w:pPr>
            <w:r>
              <w:rPr>
                <w:sz w:val="24"/>
                <w:u w:color="auto"/>
              </w:rPr>
              <w:t>硝基氯苯产品精制</w:t>
            </w:r>
            <w:r>
              <w:rPr>
                <w:u/>
              </w:rPr>
            </w:r>
          </w:p>
        </w:tc>
        <w:tc>
          <w:tcPr>
            <w:tcW w:w="1181" w:type="dxa"/>
            <w:vAlign w:val="center"/>
          </w:tcPr>
          <w:p>
            <w:pPr>
              <w:pBdr/>
              <w:ind/>
              <w:jc w:val="center"/>
            </w:pPr>
            <w:r>
              <w:rPr>
                <w:sz w:val="24"/>
                <w:u w:color="auto"/>
              </w:rPr>
              <w:t>400</w:t>
            </w:r>
            <w:r>
              <w:rPr>
                <w:u/>
              </w:rPr>
            </w:r>
          </w:p>
        </w:tc>
        <w:tc>
          <w:tcPr>
            <w:tcW w:w="1181" w:type="dxa"/>
            <w:vAlign w:val="center"/>
          </w:tcPr>
          <w:p>
            <w:pPr>
              <w:pBdr/>
              <w:ind/>
              <w:jc w:val="center"/>
            </w:pPr>
            <w:r>
              <w:rPr>
                <w:sz w:val="24"/>
                <w:u w:color="auto"/>
              </w:rPr>
              <w:t>吨</w:t>
            </w:r>
            <w:r>
              <w:rPr>
                <w:u/>
              </w:rPr>
            </w:r>
          </w:p>
        </w:tc>
        <w:tc>
          <w:tcPr>
            <w:tcW w:w="1181" w:type="dxa"/>
            <w:vAlign w:val="center"/>
          </w:tcPr>
          <w:p>
            <w:pPr>
              <w:pBdr/>
              <w:ind/>
              <w:jc w:val="center"/>
            </w:pPr>
            <w:r>
              <w:rPr>
                <w:sz w:val="24"/>
                <w:u w:color="auto"/>
              </w:rPr>
              <w:t>危险废物仓库</w:t>
            </w:r>
            <w:r>
              <w:rPr>
                <w:u/>
              </w:rPr>
            </w:r>
          </w:p>
        </w:tc>
        <w:tc>
          <w:tcPr>
            <w:tcW w:w="1181" w:type="dxa"/>
            <w:vAlign w:val="center"/>
          </w:tcPr>
          <w:p>
            <w:pPr>
              <w:pBdr/>
              <w:ind/>
              <w:jc w:val="center"/>
            </w:pPr>
            <w:r>
              <w:rPr>
                <w:sz w:val="24"/>
                <w:u w:color="auto"/>
              </w:rPr>
              <w:t>TS002</w:t>
            </w:r>
            <w:r>
              <w:rPr>
                <w:u/>
              </w:rPr>
            </w:r>
          </w:p>
        </w:tc>
      </w:tr>
      <w:tr>
        <w:trPr>
          <w:trHeight w:val="850" w:hRule="atLeast"/>
        </w:trPr>
        <w:tc>
          <w:tcPr>
            <w:tcW w:w="1181" w:type="dxa"/>
            <w:vAlign w:val="center"/>
          </w:tcPr>
          <w:p>
            <w:pPr>
              <w:pBdr/>
              <w:ind/>
              <w:jc w:val="center"/>
            </w:pPr>
            <w:r>
              <w:rPr>
                <w:sz w:val="24"/>
                <w:u w:color="auto"/>
              </w:rPr>
              <w:t>HW11</w:t>
            </w:r>
            <w:r>
              <w:rPr>
                <w:u/>
              </w:rPr>
            </w:r>
          </w:p>
        </w:tc>
        <w:tc>
          <w:tcPr>
            <w:tcW w:w="1181" w:type="dxa"/>
            <w:vAlign w:val="center"/>
          </w:tcPr>
          <w:p>
            <w:pPr>
              <w:pBdr/>
              <w:ind/>
              <w:jc w:val="center"/>
            </w:pPr>
            <w:r>
              <w:rPr>
                <w:sz w:val="24"/>
                <w:u w:color="auto"/>
              </w:rPr>
              <w:t>900-013-11</w:t>
            </w:r>
            <w:r>
              <w:rPr>
                <w:u/>
              </w:rPr>
            </w:r>
          </w:p>
        </w:tc>
        <w:tc>
          <w:tcPr>
            <w:tcW w:w="1181" w:type="dxa"/>
            <w:vAlign w:val="center"/>
          </w:tcPr>
          <w:p>
            <w:pPr>
              <w:pBdr/>
              <w:ind/>
              <w:jc w:val="center"/>
            </w:pPr>
            <w:r>
              <w:rPr>
                <w:sz w:val="24"/>
                <w:u w:color="auto"/>
              </w:rPr>
              <w:t>毒性</w:t>
            </w:r>
            <w:r>
              <w:rPr>
                <w:u/>
              </w:rPr>
            </w:r>
          </w:p>
        </w:tc>
        <w:tc>
          <w:tcPr>
            <w:tcW w:w="1181" w:type="dxa"/>
            <w:vAlign w:val="center"/>
          </w:tcPr>
          <w:p>
            <w:pPr>
              <w:pBdr/>
              <w:ind/>
              <w:jc w:val="center"/>
            </w:pPr>
            <w:r>
              <w:rPr>
                <w:sz w:val="24"/>
                <w:u w:color="auto"/>
              </w:rPr>
              <w:t>废焦油</w:t>
            </w:r>
            <w:r>
              <w:rPr>
                <w:u/>
              </w:rPr>
            </w:r>
          </w:p>
        </w:tc>
        <w:tc>
          <w:tcPr>
            <w:tcW w:w="1181" w:type="dxa"/>
            <w:vAlign w:val="center"/>
          </w:tcPr>
          <w:p>
            <w:pPr>
              <w:pBdr/>
              <w:ind/>
              <w:jc w:val="center"/>
            </w:pPr>
            <w:r>
              <w:rPr>
                <w:sz w:val="24"/>
                <w:u w:color="auto"/>
              </w:rPr>
              <w:t>液态</w:t>
            </w:r>
            <w:r>
              <w:rPr>
                <w:u/>
              </w:rPr>
            </w:r>
          </w:p>
        </w:tc>
        <w:tc>
          <w:tcPr>
            <w:tcW w:w="1181" w:type="dxa"/>
            <w:vAlign w:val="center"/>
          </w:tcPr>
          <w:p>
            <w:pPr>
              <w:pBdr/>
              <w:ind/>
              <w:jc w:val="center"/>
            </w:pPr>
            <w:r>
              <w:rPr>
                <w:sz w:val="24"/>
                <w:u w:color="auto"/>
              </w:rPr>
              <w:t>硝基酚衍生精细化学品生产装置</w:t>
            </w:r>
            <w:r>
              <w:rPr>
                <w:u/>
              </w:rPr>
            </w:r>
          </w:p>
        </w:tc>
        <w:tc>
          <w:tcPr>
            <w:tcW w:w="1181" w:type="dxa"/>
            <w:vAlign w:val="center"/>
          </w:tcPr>
          <w:p>
            <w:pPr>
              <w:pBdr/>
              <w:ind/>
              <w:jc w:val="center"/>
            </w:pPr>
            <w:r>
              <w:rPr>
                <w:sz w:val="24"/>
                <w:u w:color="auto"/>
              </w:rPr>
              <w:t>PU011</w:t>
            </w:r>
            <w:r>
              <w:rPr>
                <w:u/>
              </w:rPr>
            </w:r>
          </w:p>
        </w:tc>
        <w:tc>
          <w:tcPr>
            <w:tcW w:w="1181" w:type="dxa"/>
            <w:vAlign w:val="center"/>
          </w:tcPr>
          <w:p>
            <w:pPr>
              <w:pBdr/>
              <w:ind/>
              <w:jc w:val="center"/>
            </w:pPr>
            <w:r>
              <w:rPr>
                <w:sz w:val="24"/>
                <w:u w:color="auto"/>
              </w:rPr>
              <w:t>中和工段焦油离心机</w:t>
            </w:r>
            <w:r>
              <w:rPr>
                <w:u/>
              </w:rPr>
            </w:r>
          </w:p>
        </w:tc>
        <w:tc>
          <w:tcPr>
            <w:tcW w:w="1181" w:type="dxa"/>
            <w:vAlign w:val="center"/>
          </w:tcPr>
          <w:p>
            <w:pPr>
              <w:pBdr/>
              <w:ind/>
              <w:jc w:val="center"/>
            </w:pPr>
            <w:r>
              <w:rPr>
                <w:sz w:val="24"/>
                <w:u w:color="auto"/>
              </w:rPr>
              <w:t>400</w:t>
            </w:r>
            <w:r>
              <w:rPr>
                <w:u/>
              </w:rPr>
            </w:r>
          </w:p>
        </w:tc>
        <w:tc>
          <w:tcPr>
            <w:tcW w:w="1181" w:type="dxa"/>
            <w:vAlign w:val="center"/>
          </w:tcPr>
          <w:p>
            <w:pPr>
              <w:pBdr/>
              <w:ind/>
              <w:jc w:val="center"/>
            </w:pPr>
            <w:r>
              <w:rPr>
                <w:sz w:val="24"/>
                <w:u w:color="auto"/>
              </w:rPr>
              <w:t>吨</w:t>
            </w:r>
            <w:r>
              <w:rPr>
                <w:u/>
              </w:rPr>
            </w:r>
          </w:p>
        </w:tc>
        <w:tc>
          <w:tcPr>
            <w:tcW w:w="1181" w:type="dxa"/>
            <w:vAlign w:val="center"/>
          </w:tcPr>
          <w:p>
            <w:pPr>
              <w:pBdr/>
              <w:ind/>
              <w:jc w:val="center"/>
            </w:pPr>
            <w:r>
              <w:rPr>
                <w:sz w:val="24"/>
                <w:u w:color="auto"/>
              </w:rPr>
              <w:t>危险废物仓库</w:t>
            </w:r>
            <w:r>
              <w:rPr>
                <w:u/>
              </w:rPr>
            </w:r>
          </w:p>
        </w:tc>
        <w:tc>
          <w:tcPr>
            <w:tcW w:w="1181" w:type="dxa"/>
            <w:vAlign w:val="center"/>
          </w:tcPr>
          <w:p>
            <w:pPr>
              <w:pBdr/>
              <w:ind/>
              <w:jc w:val="center"/>
            </w:pPr>
            <w:r>
              <w:rPr>
                <w:sz w:val="24"/>
                <w:u w:color="auto"/>
              </w:rPr>
              <w:t>TS002</w:t>
            </w:r>
            <w:r>
              <w:rPr>
                <w:u/>
              </w:rPr>
            </w:r>
          </w:p>
        </w:tc>
      </w:tr>
      <w:tr>
        <w:trPr>
          <w:trHeight w:val="850" w:hRule="atLeast"/>
        </w:trPr>
        <w:tc>
          <w:tcPr>
            <w:tcW w:w="1181" w:type="dxa"/>
            <w:vAlign w:val="center"/>
          </w:tcPr>
          <w:p>
            <w:pPr>
              <w:pBdr/>
              <w:ind/>
              <w:jc w:val="center"/>
            </w:pPr>
            <w:r>
              <w:rPr>
                <w:sz w:val="24"/>
                <w:u w:color="auto"/>
              </w:rPr>
              <w:t>HW11</w:t>
            </w:r>
            <w:r>
              <w:rPr>
                <w:u/>
              </w:rPr>
            </w:r>
          </w:p>
        </w:tc>
        <w:tc>
          <w:tcPr>
            <w:tcW w:w="1181" w:type="dxa"/>
            <w:vAlign w:val="center"/>
          </w:tcPr>
          <w:p>
            <w:pPr>
              <w:pBdr/>
              <w:ind/>
              <w:jc w:val="center"/>
            </w:pPr>
            <w:r>
              <w:rPr>
                <w:sz w:val="24"/>
                <w:u w:color="auto"/>
              </w:rPr>
              <w:t>900-013-11</w:t>
            </w:r>
            <w:r>
              <w:rPr>
                <w:u/>
              </w:rPr>
            </w:r>
          </w:p>
        </w:tc>
        <w:tc>
          <w:tcPr>
            <w:tcW w:w="1181" w:type="dxa"/>
            <w:vAlign w:val="center"/>
          </w:tcPr>
          <w:p>
            <w:pPr>
              <w:pBdr/>
              <w:ind/>
              <w:jc w:val="center"/>
            </w:pPr>
            <w:r>
              <w:rPr>
                <w:sz w:val="24"/>
                <w:u w:color="auto"/>
              </w:rPr>
              <w:t>毒性</w:t>
            </w:r>
            <w:r>
              <w:rPr>
                <w:u/>
              </w:rPr>
            </w:r>
          </w:p>
        </w:tc>
        <w:tc>
          <w:tcPr>
            <w:tcW w:w="1181" w:type="dxa"/>
            <w:vAlign w:val="center"/>
          </w:tcPr>
          <w:p>
            <w:pPr>
              <w:pBdr/>
              <w:ind/>
              <w:jc w:val="center"/>
            </w:pPr>
            <w:r>
              <w:rPr>
                <w:sz w:val="24"/>
                <w:u w:color="auto"/>
              </w:rPr>
              <w:t>甲醚二次蒸馏焦油</w:t>
            </w:r>
            <w:r>
              <w:rPr>
                <w:u/>
              </w:rPr>
            </w:r>
          </w:p>
        </w:tc>
        <w:tc>
          <w:tcPr>
            <w:tcW w:w="1181" w:type="dxa"/>
            <w:vAlign w:val="center"/>
          </w:tcPr>
          <w:p>
            <w:pPr>
              <w:pBdr/>
              <w:ind/>
              <w:jc w:val="center"/>
            </w:pPr>
            <w:r>
              <w:rPr>
                <w:sz w:val="24"/>
                <w:u w:color="auto"/>
              </w:rPr>
              <w:t>半固态</w:t>
            </w:r>
            <w:r>
              <w:rPr>
                <w:u/>
              </w:rPr>
            </w:r>
          </w:p>
        </w:tc>
        <w:tc>
          <w:tcPr>
            <w:tcW w:w="1181" w:type="dxa"/>
            <w:vAlign w:val="center"/>
          </w:tcPr>
          <w:p>
            <w:pPr>
              <w:pBdr/>
              <w:ind/>
              <w:jc w:val="center"/>
            </w:pPr>
            <w:r>
              <w:rPr>
                <w:sz w:val="24"/>
                <w:u w:color="auto"/>
              </w:rPr>
              <w:t>对氨基苯甲醚生产装置</w:t>
            </w:r>
            <w:r>
              <w:rPr>
                <w:u/>
              </w:rPr>
            </w:r>
          </w:p>
        </w:tc>
        <w:tc>
          <w:tcPr>
            <w:tcW w:w="1181" w:type="dxa"/>
            <w:vAlign w:val="center"/>
          </w:tcPr>
          <w:p>
            <w:pPr>
              <w:pBdr/>
              <w:ind/>
              <w:jc w:val="center"/>
            </w:pPr>
            <w:r>
              <w:rPr>
                <w:sz w:val="24"/>
                <w:u w:color="auto"/>
              </w:rPr>
              <w:t>PU002</w:t>
            </w:r>
            <w:r>
              <w:rPr>
                <w:u/>
              </w:rPr>
            </w:r>
          </w:p>
        </w:tc>
        <w:tc>
          <w:tcPr>
            <w:tcW w:w="1181" w:type="dxa"/>
            <w:vAlign w:val="center"/>
          </w:tcPr>
          <w:p>
            <w:pPr>
              <w:pBdr/>
              <w:ind/>
              <w:jc w:val="center"/>
            </w:pPr>
            <w:r>
              <w:rPr>
                <w:sz w:val="24"/>
                <w:u w:color="auto"/>
              </w:rPr>
              <w:t>甲醚装置二次蒸馏环节</w:t>
            </w:r>
            <w:r>
              <w:rPr>
                <w:u/>
              </w:rPr>
            </w:r>
          </w:p>
        </w:tc>
        <w:tc>
          <w:tcPr>
            <w:tcW w:w="1181" w:type="dxa"/>
            <w:vAlign w:val="center"/>
          </w:tcPr>
          <w:p>
            <w:pPr>
              <w:pBdr/>
              <w:ind/>
              <w:jc w:val="center"/>
            </w:pPr>
            <w:r>
              <w:rPr>
                <w:sz w:val="24"/>
                <w:u w:color="auto"/>
              </w:rPr>
              <w:t>300</w:t>
            </w:r>
            <w:r>
              <w:rPr>
                <w:u/>
              </w:rPr>
            </w:r>
          </w:p>
        </w:tc>
        <w:tc>
          <w:tcPr>
            <w:tcW w:w="1181" w:type="dxa"/>
            <w:vAlign w:val="center"/>
          </w:tcPr>
          <w:p>
            <w:pPr>
              <w:pBdr/>
              <w:ind/>
              <w:jc w:val="center"/>
            </w:pPr>
            <w:r>
              <w:rPr>
                <w:sz w:val="24"/>
                <w:u w:color="auto"/>
              </w:rPr>
              <w:t>吨</w:t>
            </w:r>
            <w:r>
              <w:rPr>
                <w:u/>
              </w:rPr>
            </w:r>
          </w:p>
        </w:tc>
        <w:tc>
          <w:tcPr>
            <w:tcW w:w="1181" w:type="dxa"/>
            <w:vAlign w:val="center"/>
          </w:tcPr>
          <w:p>
            <w:pPr>
              <w:pBdr/>
              <w:ind/>
              <w:jc w:val="center"/>
            </w:pPr>
            <w:r>
              <w:rPr>
                <w:sz w:val="24"/>
                <w:u w:color="auto"/>
              </w:rPr>
              <w:t>危险废物仓库</w:t>
            </w:r>
            <w:r>
              <w:rPr>
                <w:u/>
              </w:rPr>
            </w:r>
          </w:p>
        </w:tc>
        <w:tc>
          <w:tcPr>
            <w:tcW w:w="1181" w:type="dxa"/>
            <w:vAlign w:val="center"/>
          </w:tcPr>
          <w:p>
            <w:pPr>
              <w:pBdr/>
              <w:ind/>
              <w:jc w:val="center"/>
            </w:pPr>
            <w:r>
              <w:rPr>
                <w:sz w:val="24"/>
                <w:u w:color="auto"/>
              </w:rPr>
              <w:t>TS002</w:t>
            </w:r>
            <w:r>
              <w:rPr>
                <w:u/>
              </w:rPr>
            </w:r>
          </w:p>
        </w:tc>
      </w:tr>
      <w:tr>
        <w:trPr>
          <w:trHeight w:val="850" w:hRule="atLeast"/>
        </w:trPr>
        <w:tc>
          <w:tcPr>
            <w:tcW w:w="1181" w:type="dxa"/>
            <w:vAlign w:val="center"/>
          </w:tcPr>
          <w:p>
            <w:pPr>
              <w:pBdr/>
              <w:ind/>
              <w:jc w:val="center"/>
            </w:pPr>
            <w:r>
              <w:rPr>
                <w:sz w:val="24"/>
                <w:u w:color="auto"/>
              </w:rPr>
              <w:t>HW11</w:t>
            </w:r>
            <w:r>
              <w:rPr>
                <w:u/>
              </w:rPr>
            </w:r>
          </w:p>
        </w:tc>
        <w:tc>
          <w:tcPr>
            <w:tcW w:w="1181" w:type="dxa"/>
            <w:vAlign w:val="center"/>
          </w:tcPr>
          <w:p>
            <w:pPr>
              <w:pBdr/>
              <w:ind/>
              <w:jc w:val="center"/>
            </w:pPr>
            <w:r>
              <w:rPr>
                <w:sz w:val="24"/>
                <w:u w:color="auto"/>
              </w:rPr>
              <w:t>900-013-11</w:t>
            </w:r>
            <w:r>
              <w:rPr>
                <w:u/>
              </w:rPr>
            </w:r>
          </w:p>
        </w:tc>
        <w:tc>
          <w:tcPr>
            <w:tcW w:w="1181" w:type="dxa"/>
            <w:vAlign w:val="center"/>
          </w:tcPr>
          <w:p>
            <w:pPr>
              <w:pBdr/>
              <w:ind/>
              <w:jc w:val="center"/>
            </w:pPr>
            <w:r>
              <w:rPr>
                <w:sz w:val="24"/>
                <w:u w:color="auto"/>
              </w:rPr>
              <w:t>毒性</w:t>
            </w:r>
            <w:r>
              <w:rPr>
                <w:u/>
              </w:rPr>
            </w:r>
          </w:p>
        </w:tc>
        <w:tc>
          <w:tcPr>
            <w:tcW w:w="1181" w:type="dxa"/>
            <w:vAlign w:val="center"/>
          </w:tcPr>
          <w:p>
            <w:pPr>
              <w:pBdr/>
              <w:ind/>
              <w:jc w:val="center"/>
            </w:pPr>
            <w:r>
              <w:rPr>
                <w:sz w:val="24"/>
                <w:u w:color="auto"/>
              </w:rPr>
              <w:t>粗制下脚/精制下脚</w:t>
            </w:r>
            <w:r>
              <w:rPr>
                <w:u/>
              </w:rPr>
            </w:r>
          </w:p>
        </w:tc>
        <w:tc>
          <w:tcPr>
            <w:tcW w:w="1181" w:type="dxa"/>
            <w:vAlign w:val="center"/>
          </w:tcPr>
          <w:p>
            <w:pPr>
              <w:pBdr/>
              <w:ind/>
              <w:jc w:val="center"/>
            </w:pPr>
            <w:r>
              <w:rPr>
                <w:sz w:val="24"/>
                <w:u w:color="auto"/>
              </w:rPr>
              <w:t>固态</w:t>
            </w:r>
            <w:r>
              <w:rPr>
                <w:u/>
              </w:rPr>
            </w:r>
          </w:p>
        </w:tc>
        <w:tc>
          <w:tcPr>
            <w:tcW w:w="1181" w:type="dxa"/>
            <w:vAlign w:val="center"/>
          </w:tcPr>
          <w:p>
            <w:pPr>
              <w:pBdr/>
              <w:ind/>
              <w:jc w:val="center"/>
            </w:pPr>
            <w:r>
              <w:rPr>
                <w:sz w:val="24"/>
                <w:u w:color="auto"/>
              </w:rPr>
              <w:t>二苯醚生产装置</w:t>
            </w:r>
            <w:r>
              <w:rPr>
                <w:u/>
              </w:rPr>
            </w:r>
          </w:p>
        </w:tc>
        <w:tc>
          <w:tcPr>
            <w:tcW w:w="1181" w:type="dxa"/>
            <w:vAlign w:val="center"/>
          </w:tcPr>
          <w:p>
            <w:pPr>
              <w:pBdr/>
              <w:ind/>
              <w:jc w:val="center"/>
            </w:pPr>
            <w:r>
              <w:rPr>
                <w:sz w:val="24"/>
                <w:u w:color="auto"/>
              </w:rPr>
              <w:t>PU003</w:t>
            </w:r>
            <w:r>
              <w:rPr>
                <w:u/>
              </w:rPr>
            </w:r>
          </w:p>
        </w:tc>
        <w:tc>
          <w:tcPr>
            <w:tcW w:w="1181" w:type="dxa"/>
            <w:vAlign w:val="center"/>
          </w:tcPr>
          <w:p>
            <w:pPr>
              <w:pBdr/>
              <w:ind/>
              <w:jc w:val="center"/>
            </w:pPr>
            <w:r>
              <w:rPr>
                <w:sz w:val="24"/>
                <w:u w:color="auto"/>
              </w:rPr>
              <w:t>粗、精制蒸馏环节</w:t>
            </w:r>
            <w:r>
              <w:rPr>
                <w:u/>
              </w:rPr>
            </w:r>
          </w:p>
        </w:tc>
        <w:tc>
          <w:tcPr>
            <w:tcW w:w="1181" w:type="dxa"/>
            <w:vAlign w:val="center"/>
          </w:tcPr>
          <w:p>
            <w:pPr>
              <w:pBdr/>
              <w:ind/>
              <w:jc w:val="center"/>
            </w:pPr>
            <w:r>
              <w:rPr>
                <w:sz w:val="24"/>
                <w:u w:color="auto"/>
              </w:rPr>
              <w:t>300</w:t>
            </w:r>
            <w:r>
              <w:rPr>
                <w:u/>
              </w:rPr>
            </w:r>
          </w:p>
        </w:tc>
        <w:tc>
          <w:tcPr>
            <w:tcW w:w="1181" w:type="dxa"/>
            <w:vAlign w:val="center"/>
          </w:tcPr>
          <w:p>
            <w:pPr>
              <w:pBdr/>
              <w:ind/>
              <w:jc w:val="center"/>
            </w:pPr>
            <w:r>
              <w:rPr>
                <w:sz w:val="24"/>
                <w:u w:color="auto"/>
              </w:rPr>
              <w:t>吨</w:t>
            </w:r>
            <w:r>
              <w:rPr>
                <w:u/>
              </w:rPr>
            </w:r>
          </w:p>
        </w:tc>
        <w:tc>
          <w:tcPr>
            <w:tcW w:w="1181" w:type="dxa"/>
            <w:vAlign w:val="center"/>
          </w:tcPr>
          <w:p>
            <w:pPr>
              <w:pBdr/>
              <w:ind/>
              <w:jc w:val="center"/>
            </w:pPr>
            <w:r>
              <w:rPr>
                <w:sz w:val="24"/>
                <w:u w:color="auto"/>
              </w:rPr>
              <w:t>危险废物仓库</w:t>
            </w:r>
            <w:r>
              <w:rPr>
                <w:u/>
              </w:rPr>
            </w:r>
          </w:p>
        </w:tc>
        <w:tc>
          <w:tcPr>
            <w:tcW w:w="1181" w:type="dxa"/>
            <w:vAlign w:val="center"/>
          </w:tcPr>
          <w:p>
            <w:pPr>
              <w:pBdr/>
              <w:ind/>
              <w:jc w:val="center"/>
            </w:pPr>
            <w:r>
              <w:rPr>
                <w:sz w:val="24"/>
                <w:u w:color="auto"/>
              </w:rPr>
              <w:t>TS002</w:t>
            </w:r>
            <w:r>
              <w:rPr>
                <w:u/>
              </w:rPr>
            </w:r>
          </w:p>
        </w:tc>
      </w:tr>
      <w:tr>
        <w:trPr>
          <w:trHeight w:val="850" w:hRule="atLeast"/>
        </w:trPr>
        <w:tc>
          <w:tcPr>
            <w:tcW w:w="1181" w:type="dxa"/>
            <w:vAlign w:val="center"/>
          </w:tcPr>
          <w:p>
            <w:pPr>
              <w:pBdr/>
              <w:ind/>
              <w:jc w:val="center"/>
            </w:pPr>
            <w:r>
              <w:rPr>
                <w:sz w:val="24"/>
                <w:u w:color="auto"/>
              </w:rPr>
              <w:t>HW11</w:t>
            </w:r>
            <w:r>
              <w:rPr>
                <w:u/>
              </w:rPr>
            </w:r>
          </w:p>
        </w:tc>
        <w:tc>
          <w:tcPr>
            <w:tcW w:w="1181" w:type="dxa"/>
            <w:vAlign w:val="center"/>
          </w:tcPr>
          <w:p>
            <w:pPr>
              <w:pBdr/>
              <w:ind/>
              <w:jc w:val="center"/>
            </w:pPr>
            <w:r>
              <w:rPr>
                <w:sz w:val="24"/>
                <w:u w:color="auto"/>
              </w:rPr>
              <w:t>900-013-11</w:t>
            </w:r>
            <w:r>
              <w:rPr>
                <w:u/>
              </w:rPr>
            </w:r>
          </w:p>
        </w:tc>
        <w:tc>
          <w:tcPr>
            <w:tcW w:w="1181" w:type="dxa"/>
            <w:vAlign w:val="center"/>
          </w:tcPr>
          <w:p>
            <w:pPr>
              <w:pBdr/>
              <w:ind/>
              <w:jc w:val="center"/>
            </w:pPr>
            <w:r>
              <w:rPr>
                <w:sz w:val="24"/>
                <w:u w:color="auto"/>
              </w:rPr>
              <w:t>毒性</w:t>
            </w:r>
            <w:r>
              <w:rPr>
                <w:u/>
              </w:rPr>
            </w:r>
          </w:p>
        </w:tc>
        <w:tc>
          <w:tcPr>
            <w:tcW w:w="1181" w:type="dxa"/>
            <w:vAlign w:val="center"/>
          </w:tcPr>
          <w:p>
            <w:pPr>
              <w:pBdr/>
              <w:ind/>
              <w:jc w:val="center"/>
            </w:pPr>
            <w:r>
              <w:rPr>
                <w:sz w:val="24"/>
                <w:u w:color="auto"/>
              </w:rPr>
              <w:t>蒸馏釜残</w:t>
            </w:r>
            <w:r>
              <w:rPr>
                <w:u/>
              </w:rPr>
            </w:r>
          </w:p>
        </w:tc>
        <w:tc>
          <w:tcPr>
            <w:tcW w:w="1181" w:type="dxa"/>
            <w:vAlign w:val="center"/>
          </w:tcPr>
          <w:p>
            <w:pPr>
              <w:pBdr/>
              <w:ind/>
              <w:jc w:val="center"/>
            </w:pPr>
            <w:r>
              <w:rPr>
                <w:sz w:val="24"/>
                <w:u w:color="auto"/>
              </w:rPr>
              <w:t>半固态</w:t>
            </w:r>
            <w:r>
              <w:rPr>
                <w:u/>
              </w:rPr>
            </w:r>
          </w:p>
        </w:tc>
        <w:tc>
          <w:tcPr>
            <w:tcW w:w="1181" w:type="dxa"/>
            <w:vAlign w:val="center"/>
          </w:tcPr>
          <w:p>
            <w:pPr>
              <w:pBdr/>
              <w:ind/>
              <w:jc w:val="center"/>
            </w:pPr>
            <w:r>
              <w:rPr>
                <w:sz w:val="24"/>
                <w:u w:color="auto"/>
              </w:rPr>
              <w:t>邻氨（硝）基苯酚生产装置</w:t>
            </w:r>
            <w:r>
              <w:rPr>
                <w:u/>
              </w:rPr>
            </w:r>
          </w:p>
        </w:tc>
        <w:tc>
          <w:tcPr>
            <w:tcW w:w="1181" w:type="dxa"/>
            <w:vAlign w:val="center"/>
          </w:tcPr>
          <w:p>
            <w:pPr>
              <w:pBdr/>
              <w:ind/>
              <w:jc w:val="center"/>
            </w:pPr>
            <w:r>
              <w:rPr>
                <w:sz w:val="24"/>
                <w:u w:color="auto"/>
              </w:rPr>
              <w:t>PU008</w:t>
            </w:r>
            <w:r>
              <w:rPr>
                <w:u/>
              </w:rPr>
            </w:r>
          </w:p>
        </w:tc>
        <w:tc>
          <w:tcPr>
            <w:tcW w:w="1181" w:type="dxa"/>
            <w:vAlign w:val="center"/>
          </w:tcPr>
          <w:p>
            <w:pPr>
              <w:pBdr/>
              <w:ind/>
              <w:jc w:val="center"/>
            </w:pPr>
            <w:r>
              <w:rPr>
                <w:sz w:val="24"/>
                <w:u w:color="auto"/>
              </w:rPr>
              <w:t>蒸馏工 序</w:t>
            </w:r>
            <w:r>
              <w:rPr>
                <w:u/>
              </w:rPr>
            </w:r>
          </w:p>
        </w:tc>
        <w:tc>
          <w:tcPr>
            <w:tcW w:w="1181" w:type="dxa"/>
            <w:vAlign w:val="center"/>
          </w:tcPr>
          <w:p>
            <w:pPr>
              <w:pBdr/>
              <w:ind/>
              <w:jc w:val="center"/>
            </w:pPr>
            <w:r>
              <w:rPr>
                <w:sz w:val="24"/>
                <w:u w:color="auto"/>
              </w:rPr>
              <w:t>1000</w:t>
            </w:r>
            <w:r>
              <w:rPr>
                <w:u/>
              </w:rPr>
            </w:r>
          </w:p>
        </w:tc>
        <w:tc>
          <w:tcPr>
            <w:tcW w:w="1181" w:type="dxa"/>
            <w:vAlign w:val="center"/>
          </w:tcPr>
          <w:p>
            <w:pPr>
              <w:pBdr/>
              <w:ind/>
              <w:jc w:val="center"/>
            </w:pPr>
            <w:r>
              <w:rPr>
                <w:sz w:val="24"/>
                <w:u w:color="auto"/>
              </w:rPr>
              <w:t>吨</w:t>
            </w:r>
            <w:r>
              <w:rPr>
                <w:u/>
              </w:rPr>
            </w:r>
          </w:p>
        </w:tc>
        <w:tc>
          <w:tcPr>
            <w:tcW w:w="1181" w:type="dxa"/>
            <w:vAlign w:val="center"/>
          </w:tcPr>
          <w:p>
            <w:pPr>
              <w:pBdr/>
              <w:ind/>
              <w:jc w:val="center"/>
            </w:pPr>
            <w:r>
              <w:rPr>
                <w:sz w:val="24"/>
                <w:u w:color="auto"/>
              </w:rPr>
              <w:t>危险废物仓库</w:t>
            </w:r>
            <w:r>
              <w:rPr>
                <w:u/>
              </w:rPr>
            </w:r>
          </w:p>
        </w:tc>
        <w:tc>
          <w:tcPr>
            <w:tcW w:w="1181" w:type="dxa"/>
            <w:vAlign w:val="center"/>
          </w:tcPr>
          <w:p>
            <w:pPr>
              <w:pBdr/>
              <w:ind/>
              <w:jc w:val="center"/>
            </w:pPr>
            <w:r>
              <w:rPr>
                <w:sz w:val="24"/>
                <w:u w:color="auto"/>
              </w:rPr>
              <w:t>TS002</w:t>
            </w:r>
            <w:r>
              <w:rPr>
                <w:u/>
              </w:rPr>
            </w:r>
          </w:p>
        </w:tc>
      </w:tr>
      <w:tr>
        <w:trPr>
          <w:trHeight w:val="850" w:hRule="atLeast"/>
        </w:trPr>
        <w:tc>
          <w:tcPr>
            <w:tcW w:w="1181" w:type="dxa"/>
            <w:vAlign w:val="center"/>
          </w:tcPr>
          <w:p>
            <w:pPr>
              <w:pBdr/>
              <w:ind/>
              <w:jc w:val="center"/>
            </w:pPr>
            <w:r>
              <w:rPr>
                <w:sz w:val="24"/>
                <w:u w:color="auto"/>
              </w:rPr>
              <w:t>HW11</w:t>
            </w:r>
            <w:r>
              <w:rPr>
                <w:u/>
              </w:rPr>
            </w:r>
          </w:p>
        </w:tc>
        <w:tc>
          <w:tcPr>
            <w:tcW w:w="1181" w:type="dxa"/>
            <w:vAlign w:val="center"/>
          </w:tcPr>
          <w:p>
            <w:pPr>
              <w:pBdr/>
              <w:ind/>
              <w:jc w:val="center"/>
            </w:pPr>
            <w:r>
              <w:rPr>
                <w:sz w:val="24"/>
                <w:u w:color="auto"/>
              </w:rPr>
              <w:t>900-013-11</w:t>
            </w:r>
            <w:r>
              <w:rPr>
                <w:u/>
              </w:rPr>
            </w:r>
          </w:p>
        </w:tc>
        <w:tc>
          <w:tcPr>
            <w:tcW w:w="1181" w:type="dxa"/>
            <w:vAlign w:val="center"/>
          </w:tcPr>
          <w:p>
            <w:pPr>
              <w:pBdr/>
              <w:ind/>
              <w:jc w:val="center"/>
            </w:pPr>
            <w:r>
              <w:rPr>
                <w:sz w:val="24"/>
                <w:u w:color="auto"/>
              </w:rPr>
              <w:t>毒性</w:t>
            </w:r>
            <w:r>
              <w:rPr>
                <w:u/>
              </w:rPr>
            </w:r>
          </w:p>
        </w:tc>
        <w:tc>
          <w:tcPr>
            <w:tcW w:w="1181" w:type="dxa"/>
            <w:vAlign w:val="center"/>
          </w:tcPr>
          <w:p>
            <w:pPr>
              <w:pBdr/>
              <w:ind/>
              <w:jc w:val="center"/>
            </w:pPr>
            <w:r>
              <w:rPr>
                <w:sz w:val="24"/>
                <w:u w:color="auto"/>
              </w:rPr>
              <w:t>蒸馏釜残（硝基酚装置）</w:t>
            </w:r>
            <w:r>
              <w:rPr>
                <w:u/>
              </w:rPr>
            </w:r>
          </w:p>
        </w:tc>
        <w:tc>
          <w:tcPr>
            <w:tcW w:w="1181" w:type="dxa"/>
            <w:vAlign w:val="center"/>
          </w:tcPr>
          <w:p>
            <w:pPr>
              <w:pBdr/>
              <w:ind/>
              <w:jc w:val="center"/>
            </w:pPr>
            <w:r>
              <w:rPr>
                <w:sz w:val="24"/>
                <w:u w:color="auto"/>
              </w:rPr>
              <w:t>半固态</w:t>
            </w:r>
            <w:r>
              <w:rPr>
                <w:u/>
              </w:rPr>
            </w:r>
          </w:p>
        </w:tc>
        <w:tc>
          <w:tcPr>
            <w:tcW w:w="1181" w:type="dxa"/>
            <w:vAlign w:val="center"/>
          </w:tcPr>
          <w:p>
            <w:pPr>
              <w:pBdr/>
              <w:ind/>
              <w:jc w:val="center"/>
            </w:pPr>
            <w:r>
              <w:rPr>
                <w:sz w:val="24"/>
                <w:u w:color="auto"/>
              </w:rPr>
              <w:t>硝基酚衍生精细化学品生产装置</w:t>
            </w:r>
            <w:r>
              <w:rPr>
                <w:u/>
              </w:rPr>
            </w:r>
          </w:p>
        </w:tc>
        <w:tc>
          <w:tcPr>
            <w:tcW w:w="1181" w:type="dxa"/>
            <w:vAlign w:val="center"/>
          </w:tcPr>
          <w:p>
            <w:pPr>
              <w:pBdr/>
              <w:ind/>
              <w:jc w:val="center"/>
            </w:pPr>
            <w:r>
              <w:rPr>
                <w:sz w:val="24"/>
                <w:u w:color="auto"/>
              </w:rPr>
              <w:t>PU011</w:t>
            </w:r>
            <w:r>
              <w:rPr>
                <w:u/>
              </w:rPr>
            </w:r>
          </w:p>
        </w:tc>
        <w:tc>
          <w:tcPr>
            <w:tcW w:w="1181" w:type="dxa"/>
            <w:vAlign w:val="center"/>
          </w:tcPr>
          <w:p>
            <w:pPr>
              <w:pBdr/>
              <w:ind/>
              <w:jc w:val="center"/>
            </w:pPr>
            <w:r>
              <w:rPr>
                <w:sz w:val="24"/>
                <w:u w:color="auto"/>
              </w:rPr>
              <w:t>蒸馏工段</w:t>
            </w:r>
            <w:r>
              <w:rPr>
                <w:u/>
              </w:rPr>
            </w:r>
          </w:p>
        </w:tc>
        <w:tc>
          <w:tcPr>
            <w:tcW w:w="1181" w:type="dxa"/>
            <w:vAlign w:val="center"/>
          </w:tcPr>
          <w:p>
            <w:pPr>
              <w:pBdr/>
              <w:ind/>
              <w:jc w:val="center"/>
            </w:pPr>
            <w:r>
              <w:rPr>
                <w:sz w:val="24"/>
                <w:u w:color="auto"/>
              </w:rPr>
              <w:t>100</w:t>
            </w:r>
            <w:r>
              <w:rPr>
                <w:u/>
              </w:rPr>
            </w:r>
          </w:p>
        </w:tc>
        <w:tc>
          <w:tcPr>
            <w:tcW w:w="1181" w:type="dxa"/>
            <w:vAlign w:val="center"/>
          </w:tcPr>
          <w:p>
            <w:pPr>
              <w:pBdr/>
              <w:ind/>
              <w:jc w:val="center"/>
            </w:pPr>
            <w:r>
              <w:rPr>
                <w:sz w:val="24"/>
                <w:u w:color="auto"/>
              </w:rPr>
              <w:t>吨</w:t>
            </w:r>
            <w:r>
              <w:rPr>
                <w:u/>
              </w:rPr>
            </w:r>
          </w:p>
        </w:tc>
        <w:tc>
          <w:tcPr>
            <w:tcW w:w="1181" w:type="dxa"/>
            <w:vAlign w:val="center"/>
          </w:tcPr>
          <w:p>
            <w:pPr>
              <w:pBdr/>
              <w:ind/>
              <w:jc w:val="center"/>
            </w:pPr>
            <w:r>
              <w:rPr>
                <w:sz w:val="24"/>
                <w:u w:color="auto"/>
              </w:rPr>
              <w:t>危险废物仓库</w:t>
            </w:r>
            <w:r>
              <w:rPr>
                <w:u/>
              </w:rPr>
            </w:r>
          </w:p>
        </w:tc>
        <w:tc>
          <w:tcPr>
            <w:tcW w:w="1181" w:type="dxa"/>
            <w:vAlign w:val="center"/>
          </w:tcPr>
          <w:p>
            <w:pPr>
              <w:pBdr/>
              <w:ind/>
              <w:jc w:val="center"/>
            </w:pPr>
            <w:r>
              <w:rPr>
                <w:sz w:val="24"/>
                <w:u w:color="auto"/>
              </w:rPr>
              <w:t>TS002</w:t>
            </w:r>
            <w:r>
              <w:rPr>
                <w:u/>
              </w:rPr>
            </w:r>
          </w:p>
        </w:tc>
      </w:tr>
      <w:tr>
        <w:trPr>
          <w:trHeight w:val="850" w:hRule="atLeast"/>
        </w:trPr>
        <w:tc>
          <w:tcPr>
            <w:tcW w:w="1181" w:type="dxa"/>
            <w:vAlign w:val="center"/>
          </w:tcPr>
          <w:p>
            <w:pPr>
              <w:pBdr/>
              <w:ind/>
              <w:jc w:val="center"/>
            </w:pPr>
            <w:r>
              <w:rPr>
                <w:sz w:val="24"/>
                <w:u w:color="auto"/>
              </w:rPr>
              <w:t>HW13</w:t>
            </w:r>
            <w:r>
              <w:rPr>
                <w:u/>
              </w:rPr>
            </w:r>
          </w:p>
        </w:tc>
        <w:tc>
          <w:tcPr>
            <w:tcW w:w="1181" w:type="dxa"/>
            <w:vAlign w:val="center"/>
          </w:tcPr>
          <w:p>
            <w:pPr>
              <w:pBdr/>
              <w:ind/>
              <w:jc w:val="center"/>
            </w:pPr>
            <w:r>
              <w:rPr>
                <w:sz w:val="24"/>
                <w:u w:color="auto"/>
              </w:rPr>
              <w:t>900-015-13</w:t>
            </w:r>
            <w:r>
              <w:rPr>
                <w:u/>
              </w:rPr>
            </w:r>
          </w:p>
        </w:tc>
        <w:tc>
          <w:tcPr>
            <w:tcW w:w="1181" w:type="dxa"/>
            <w:vAlign w:val="center"/>
          </w:tcPr>
          <w:p>
            <w:pPr>
              <w:pBdr/>
              <w:ind/>
              <w:jc w:val="center"/>
            </w:pPr>
            <w:r>
              <w:rPr>
                <w:sz w:val="24"/>
                <w:u w:color="auto"/>
              </w:rPr>
              <w:t>毒性</w:t>
            </w:r>
            <w:r>
              <w:rPr>
                <w:u/>
              </w:rPr>
            </w:r>
          </w:p>
        </w:tc>
        <w:tc>
          <w:tcPr>
            <w:tcW w:w="1181" w:type="dxa"/>
            <w:vAlign w:val="center"/>
          </w:tcPr>
          <w:p>
            <w:pPr>
              <w:pBdr/>
              <w:ind/>
              <w:jc w:val="center"/>
            </w:pPr>
            <w:r>
              <w:rPr>
                <w:sz w:val="24"/>
                <w:u w:color="auto"/>
              </w:rPr>
              <w:t>废树脂</w:t>
            </w:r>
            <w:r>
              <w:rPr>
                <w:u/>
              </w:rPr>
            </w:r>
          </w:p>
        </w:tc>
        <w:tc>
          <w:tcPr>
            <w:tcW w:w="1181" w:type="dxa"/>
            <w:vAlign w:val="center"/>
          </w:tcPr>
          <w:p>
            <w:pPr>
              <w:pBdr/>
              <w:ind/>
              <w:jc w:val="center"/>
            </w:pPr>
            <w:r>
              <w:rPr>
                <w:sz w:val="24"/>
                <w:u w:color="auto"/>
              </w:rPr>
              <w:t>固态</w:t>
            </w:r>
            <w:r>
              <w:rPr>
                <w:u/>
              </w:rPr>
            </w:r>
          </w:p>
        </w:tc>
        <w:tc>
          <w:tcPr>
            <w:tcW w:w="1181" w:type="dxa"/>
            <w:vAlign w:val="center"/>
          </w:tcPr>
          <w:p>
            <w:pPr>
              <w:pBdr/>
              <w:ind/>
              <w:jc w:val="center"/>
            </w:pPr>
            <w:r>
              <w:rPr>
                <w:sz w:val="24"/>
                <w:u w:color="auto"/>
              </w:rPr>
              <w:t>污水处理装置</w:t>
            </w:r>
            <w:r>
              <w:rPr>
                <w:u/>
              </w:rPr>
            </w:r>
          </w:p>
        </w:tc>
        <w:tc>
          <w:tcPr>
            <w:tcW w:w="1181" w:type="dxa"/>
            <w:vAlign w:val="center"/>
          </w:tcPr>
          <w:p>
            <w:pPr>
              <w:pBdr/>
              <w:ind/>
              <w:jc w:val="center"/>
            </w:pPr>
            <w:r>
              <w:rPr>
                <w:sz w:val="24"/>
                <w:u w:color="auto"/>
              </w:rPr>
              <w:t>PU004</w:t>
            </w:r>
            <w:r>
              <w:rPr>
                <w:u/>
              </w:rPr>
            </w:r>
          </w:p>
        </w:tc>
        <w:tc>
          <w:tcPr>
            <w:tcW w:w="1181" w:type="dxa"/>
            <w:vAlign w:val="center"/>
          </w:tcPr>
          <w:p>
            <w:pPr>
              <w:pBdr/>
              <w:ind/>
              <w:jc w:val="center"/>
            </w:pPr>
            <w:r>
              <w:rPr>
                <w:sz w:val="24"/>
                <w:u w:color="auto"/>
              </w:rPr>
              <w:t>污水处理树脂吸附塔</w:t>
            </w:r>
            <w:r>
              <w:rPr>
                <w:u/>
              </w:rPr>
            </w:r>
          </w:p>
        </w:tc>
        <w:tc>
          <w:tcPr>
            <w:tcW w:w="1181" w:type="dxa"/>
            <w:vAlign w:val="center"/>
          </w:tcPr>
          <w:p>
            <w:pPr>
              <w:pBdr/>
              <w:ind/>
              <w:jc w:val="center"/>
            </w:pPr>
            <w:r>
              <w:rPr>
                <w:sz w:val="24"/>
                <w:u w:color="auto"/>
              </w:rPr>
              <w:t>30</w:t>
            </w:r>
            <w:r>
              <w:rPr>
                <w:u/>
              </w:rPr>
            </w:r>
          </w:p>
        </w:tc>
        <w:tc>
          <w:tcPr>
            <w:tcW w:w="1181" w:type="dxa"/>
            <w:vAlign w:val="center"/>
          </w:tcPr>
          <w:p>
            <w:pPr>
              <w:pBdr/>
              <w:ind/>
              <w:jc w:val="center"/>
            </w:pPr>
            <w:r>
              <w:rPr>
                <w:sz w:val="24"/>
                <w:u w:color="auto"/>
              </w:rPr>
              <w:t>吨</w:t>
            </w:r>
            <w:r>
              <w:rPr>
                <w:u/>
              </w:rPr>
            </w:r>
          </w:p>
        </w:tc>
        <w:tc>
          <w:tcPr>
            <w:tcW w:w="1181" w:type="dxa"/>
            <w:vAlign w:val="center"/>
          </w:tcPr>
          <w:p>
            <w:pPr>
              <w:pBdr/>
              <w:ind/>
              <w:jc w:val="center"/>
            </w:pPr>
            <w:r>
              <w:rPr>
                <w:sz w:val="24"/>
                <w:u w:color="auto"/>
              </w:rPr>
              <w:t>危险废物仓库</w:t>
            </w:r>
            <w:r>
              <w:rPr>
                <w:u/>
              </w:rPr>
            </w:r>
          </w:p>
        </w:tc>
        <w:tc>
          <w:tcPr>
            <w:tcW w:w="1181" w:type="dxa"/>
            <w:vAlign w:val="center"/>
          </w:tcPr>
          <w:p>
            <w:pPr>
              <w:pBdr/>
              <w:ind/>
              <w:jc w:val="center"/>
            </w:pPr>
            <w:r>
              <w:rPr>
                <w:sz w:val="24"/>
                <w:u w:color="auto"/>
              </w:rPr>
              <w:t>TS002</w:t>
            </w:r>
            <w:r>
              <w:rPr>
                <w:u/>
              </w:rPr>
            </w:r>
          </w:p>
        </w:tc>
      </w:tr>
      <w:tr>
        <w:trPr>
          <w:trHeight w:val="850" w:hRule="atLeast"/>
        </w:trPr>
        <w:tc>
          <w:tcPr>
            <w:tcW w:w="1181" w:type="dxa"/>
            <w:vAlign w:val="center"/>
          </w:tcPr>
          <w:p>
            <w:pPr>
              <w:pBdr/>
              <w:ind/>
              <w:jc w:val="center"/>
            </w:pPr>
            <w:r>
              <w:rPr>
                <w:sz w:val="24"/>
                <w:u w:color="auto"/>
              </w:rPr>
              <w:t>HW36</w:t>
            </w:r>
            <w:r>
              <w:rPr>
                <w:u/>
              </w:rPr>
            </w:r>
          </w:p>
        </w:tc>
        <w:tc>
          <w:tcPr>
            <w:tcW w:w="1181" w:type="dxa"/>
            <w:vAlign w:val="center"/>
          </w:tcPr>
          <w:p>
            <w:pPr>
              <w:pBdr/>
              <w:ind/>
              <w:jc w:val="center"/>
            </w:pPr>
            <w:r>
              <w:rPr>
                <w:sz w:val="24"/>
                <w:u w:color="auto"/>
              </w:rPr>
              <w:t>900-030-36</w:t>
            </w:r>
            <w:r>
              <w:rPr>
                <w:u/>
              </w:rPr>
            </w:r>
          </w:p>
        </w:tc>
        <w:tc>
          <w:tcPr>
            <w:tcW w:w="1181" w:type="dxa"/>
            <w:vAlign w:val="center"/>
          </w:tcPr>
          <w:p>
            <w:pPr>
              <w:pBdr/>
              <w:ind/>
              <w:jc w:val="center"/>
            </w:pPr>
            <w:r>
              <w:rPr>
                <w:sz w:val="24"/>
                <w:u w:color="auto"/>
              </w:rPr>
              <w:t>毒性</w:t>
            </w:r>
            <w:r>
              <w:rPr>
                <w:u/>
              </w:rPr>
            </w:r>
          </w:p>
        </w:tc>
        <w:tc>
          <w:tcPr>
            <w:tcW w:w="1181" w:type="dxa"/>
            <w:vAlign w:val="center"/>
          </w:tcPr>
          <w:p>
            <w:pPr>
              <w:pBdr/>
              <w:ind/>
              <w:jc w:val="center"/>
            </w:pPr>
            <w:r>
              <w:rPr>
                <w:sz w:val="24"/>
                <w:u w:color="auto"/>
              </w:rPr>
              <w:t>废岩棉</w:t>
            </w:r>
            <w:r>
              <w:rPr>
                <w:u/>
              </w:rPr>
            </w:r>
          </w:p>
        </w:tc>
        <w:tc>
          <w:tcPr>
            <w:tcW w:w="1181" w:type="dxa"/>
            <w:vAlign w:val="center"/>
          </w:tcPr>
          <w:p>
            <w:pPr>
              <w:pBdr/>
              <w:ind/>
              <w:jc w:val="center"/>
            </w:pPr>
            <w:r>
              <w:rPr>
                <w:sz w:val="24"/>
                <w:u w:color="auto"/>
              </w:rPr>
              <w:t>固态</w:t>
            </w:r>
            <w:r>
              <w:rPr>
                <w:u/>
              </w:rPr>
            </w:r>
          </w:p>
        </w:tc>
        <w:tc>
          <w:tcPr>
            <w:tcW w:w="1181" w:type="dxa"/>
            <w:vAlign w:val="center"/>
          </w:tcPr>
          <w:p>
            <w:pPr>
              <w:pBdr/>
              <w:ind/>
              <w:jc w:val="center"/>
            </w:pPr>
            <w:r>
              <w:rPr>
                <w:sz w:val="24"/>
                <w:u w:color="auto"/>
              </w:rPr>
              <w:t>污水处理装置</w:t>
            </w:r>
            <w:r>
              <w:rPr>
                <w:u/>
              </w:rPr>
            </w:r>
          </w:p>
        </w:tc>
        <w:tc>
          <w:tcPr>
            <w:tcW w:w="1181" w:type="dxa"/>
            <w:vAlign w:val="center"/>
          </w:tcPr>
          <w:p>
            <w:pPr>
              <w:pBdr/>
              <w:ind/>
              <w:jc w:val="center"/>
            </w:pPr>
            <w:r>
              <w:rPr>
                <w:sz w:val="24"/>
                <w:u w:color="auto"/>
              </w:rPr>
              <w:t>PU004</w:t>
            </w:r>
            <w:r>
              <w:rPr>
                <w:u/>
              </w:rPr>
            </w:r>
          </w:p>
        </w:tc>
        <w:tc>
          <w:tcPr>
            <w:tcW w:w="1181" w:type="dxa"/>
            <w:vAlign w:val="center"/>
          </w:tcPr>
          <w:p>
            <w:pPr>
              <w:pBdr/>
              <w:ind/>
              <w:jc w:val="center"/>
            </w:pPr>
            <w:r>
              <w:rPr>
                <w:sz w:val="24"/>
                <w:u w:color="auto"/>
              </w:rPr>
              <w:t>管道保温拆除</w:t>
            </w:r>
            <w:r>
              <w:rPr>
                <w:u/>
              </w:rPr>
            </w:r>
          </w:p>
        </w:tc>
        <w:tc>
          <w:tcPr>
            <w:tcW w:w="1181" w:type="dxa"/>
            <w:vAlign w:val="center"/>
          </w:tcPr>
          <w:p>
            <w:pPr>
              <w:pBdr/>
              <w:ind/>
              <w:jc w:val="center"/>
            </w:pPr>
            <w:r>
              <w:rPr>
                <w:sz w:val="24"/>
                <w:u w:color="auto"/>
              </w:rPr>
              <w:t>100</w:t>
            </w:r>
            <w:r>
              <w:rPr>
                <w:u/>
              </w:rPr>
            </w:r>
          </w:p>
        </w:tc>
        <w:tc>
          <w:tcPr>
            <w:tcW w:w="1181" w:type="dxa"/>
            <w:vAlign w:val="center"/>
          </w:tcPr>
          <w:p>
            <w:pPr>
              <w:pBdr/>
              <w:ind/>
              <w:jc w:val="center"/>
            </w:pPr>
            <w:r>
              <w:rPr>
                <w:sz w:val="24"/>
                <w:u w:color="auto"/>
              </w:rPr>
              <w:t>吨</w:t>
            </w:r>
            <w:r>
              <w:rPr>
                <w:u/>
              </w:rPr>
            </w:r>
          </w:p>
        </w:tc>
        <w:tc>
          <w:tcPr>
            <w:tcW w:w="1181" w:type="dxa"/>
            <w:vAlign w:val="center"/>
          </w:tcPr>
          <w:p>
            <w:pPr>
              <w:pBdr/>
              <w:ind/>
              <w:jc w:val="center"/>
            </w:pPr>
            <w:r>
              <w:rPr>
                <w:sz w:val="24"/>
                <w:u w:color="auto"/>
              </w:rPr>
              <w:t>危险废物仓库</w:t>
            </w:r>
            <w:r>
              <w:rPr>
                <w:u/>
              </w:rPr>
            </w:r>
          </w:p>
        </w:tc>
        <w:tc>
          <w:tcPr>
            <w:tcW w:w="1181" w:type="dxa"/>
            <w:vAlign w:val="center"/>
          </w:tcPr>
          <w:p>
            <w:pPr>
              <w:pBdr/>
              <w:ind/>
              <w:jc w:val="center"/>
            </w:pPr>
            <w:r>
              <w:rPr>
                <w:sz w:val="24"/>
                <w:u w:color="auto"/>
              </w:rPr>
              <w:t>TS002</w:t>
            </w:r>
            <w:r>
              <w:rPr>
                <w:u/>
              </w:rPr>
            </w:r>
          </w:p>
        </w:tc>
      </w:tr>
      <w:tr>
        <w:trPr>
          <w:trHeight w:val="850" w:hRule="atLeast"/>
        </w:trPr>
        <w:tc>
          <w:tcPr>
            <w:tcW w:w="1181" w:type="dxa"/>
            <w:vAlign w:val="center"/>
          </w:tcPr>
          <w:p>
            <w:pPr>
              <w:pBdr/>
              <w:ind/>
              <w:jc w:val="center"/>
            </w:pPr>
            <w:r>
              <w:rPr>
                <w:sz w:val="24"/>
                <w:u w:color="auto"/>
              </w:rPr>
              <w:t>HW46</w:t>
            </w:r>
            <w:r>
              <w:rPr>
                <w:u/>
              </w:rPr>
            </w:r>
          </w:p>
        </w:tc>
        <w:tc>
          <w:tcPr>
            <w:tcW w:w="1181" w:type="dxa"/>
            <w:vAlign w:val="center"/>
          </w:tcPr>
          <w:p>
            <w:pPr>
              <w:pBdr/>
              <w:ind/>
              <w:jc w:val="center"/>
            </w:pPr>
            <w:r>
              <w:rPr>
                <w:sz w:val="24"/>
                <w:u w:color="auto"/>
              </w:rPr>
              <w:t>900-037-46</w:t>
            </w:r>
            <w:r>
              <w:rPr>
                <w:u/>
              </w:rPr>
            </w:r>
          </w:p>
        </w:tc>
        <w:tc>
          <w:tcPr>
            <w:tcW w:w="1181" w:type="dxa"/>
            <w:vAlign w:val="center"/>
          </w:tcPr>
          <w:p>
            <w:pPr>
              <w:pBdr/>
              <w:ind/>
              <w:jc w:val="center"/>
            </w:pPr>
            <w:r>
              <w:rPr>
                <w:sz w:val="24"/>
                <w:u w:color="auto"/>
              </w:rPr>
              <w:t>毒性, 易燃性</w:t>
            </w:r>
            <w:r>
              <w:rPr>
                <w:u/>
              </w:rPr>
            </w:r>
          </w:p>
        </w:tc>
        <w:tc>
          <w:tcPr>
            <w:tcW w:w="1181" w:type="dxa"/>
            <w:vAlign w:val="center"/>
          </w:tcPr>
          <w:p>
            <w:pPr>
              <w:pBdr/>
              <w:ind/>
              <w:jc w:val="center"/>
            </w:pPr>
            <w:r>
              <w:rPr>
                <w:sz w:val="24"/>
                <w:u w:color="auto"/>
              </w:rPr>
              <w:t>废镍催化剂</w:t>
            </w:r>
            <w:r>
              <w:rPr>
                <w:u/>
              </w:rPr>
            </w:r>
          </w:p>
        </w:tc>
        <w:tc>
          <w:tcPr>
            <w:tcW w:w="1181" w:type="dxa"/>
            <w:vAlign w:val="center"/>
          </w:tcPr>
          <w:p>
            <w:pPr>
              <w:pBdr/>
              <w:ind/>
              <w:jc w:val="center"/>
            </w:pPr>
            <w:r>
              <w:rPr>
                <w:sz w:val="24"/>
                <w:u w:color="auto"/>
              </w:rPr>
              <w:t>固态</w:t>
            </w:r>
            <w:r>
              <w:rPr>
                <w:u/>
              </w:rPr>
            </w:r>
          </w:p>
        </w:tc>
        <w:tc>
          <w:tcPr>
            <w:tcW w:w="1181" w:type="dxa"/>
            <w:vAlign w:val="center"/>
          </w:tcPr>
          <w:p>
            <w:pPr>
              <w:pBdr/>
              <w:ind/>
              <w:jc w:val="center"/>
            </w:pPr>
            <w:r>
              <w:rPr>
                <w:sz w:val="24"/>
                <w:u w:color="auto"/>
              </w:rPr>
              <w:t>对氨基苯甲醚生产装置</w:t>
            </w:r>
            <w:r>
              <w:rPr>
                <w:u/>
              </w:rPr>
            </w:r>
          </w:p>
        </w:tc>
        <w:tc>
          <w:tcPr>
            <w:tcW w:w="1181" w:type="dxa"/>
            <w:vAlign w:val="center"/>
          </w:tcPr>
          <w:p>
            <w:pPr>
              <w:pBdr/>
              <w:ind/>
              <w:jc w:val="center"/>
            </w:pPr>
            <w:r>
              <w:rPr>
                <w:sz w:val="24"/>
                <w:u w:color="auto"/>
              </w:rPr>
              <w:t>PU002</w:t>
            </w:r>
            <w:r>
              <w:rPr>
                <w:u/>
              </w:rPr>
            </w:r>
          </w:p>
        </w:tc>
        <w:tc>
          <w:tcPr>
            <w:tcW w:w="1181" w:type="dxa"/>
            <w:vAlign w:val="center"/>
          </w:tcPr>
          <w:p>
            <w:pPr>
              <w:pBdr/>
              <w:ind/>
              <w:jc w:val="center"/>
            </w:pPr>
            <w:r>
              <w:rPr>
                <w:sz w:val="24"/>
                <w:u w:color="auto"/>
              </w:rPr>
              <w:t>加氢装置催化剂过滤器</w:t>
            </w:r>
            <w:r>
              <w:rPr>
                <w:u/>
              </w:rPr>
            </w:r>
          </w:p>
        </w:tc>
        <w:tc>
          <w:tcPr>
            <w:tcW w:w="1181" w:type="dxa"/>
            <w:vAlign w:val="center"/>
          </w:tcPr>
          <w:p>
            <w:pPr>
              <w:pBdr/>
              <w:ind/>
              <w:jc w:val="center"/>
            </w:pPr>
            <w:r>
              <w:rPr>
                <w:sz w:val="24"/>
                <w:u w:color="auto"/>
              </w:rPr>
              <w:t>200</w:t>
            </w:r>
            <w:r>
              <w:rPr>
                <w:u/>
              </w:rPr>
            </w:r>
          </w:p>
        </w:tc>
        <w:tc>
          <w:tcPr>
            <w:tcW w:w="1181" w:type="dxa"/>
            <w:vAlign w:val="center"/>
          </w:tcPr>
          <w:p>
            <w:pPr>
              <w:pBdr/>
              <w:ind/>
              <w:jc w:val="center"/>
            </w:pPr>
            <w:r>
              <w:rPr>
                <w:sz w:val="24"/>
                <w:u w:color="auto"/>
              </w:rPr>
              <w:t>吨</w:t>
            </w:r>
            <w:r>
              <w:rPr>
                <w:u/>
              </w:rPr>
            </w:r>
          </w:p>
        </w:tc>
        <w:tc>
          <w:tcPr>
            <w:tcW w:w="1181" w:type="dxa"/>
            <w:vAlign w:val="center"/>
          </w:tcPr>
          <w:p>
            <w:pPr>
              <w:pBdr/>
              <w:ind/>
              <w:jc w:val="center"/>
            </w:pPr>
            <w:r>
              <w:rPr>
                <w:sz w:val="24"/>
                <w:u w:color="auto"/>
              </w:rPr>
              <w:t>危险废物仓库</w:t>
            </w:r>
            <w:r>
              <w:rPr>
                <w:u/>
              </w:rPr>
            </w:r>
          </w:p>
        </w:tc>
        <w:tc>
          <w:tcPr>
            <w:tcW w:w="1181" w:type="dxa"/>
            <w:vAlign w:val="center"/>
          </w:tcPr>
          <w:p>
            <w:pPr>
              <w:pBdr/>
              <w:ind/>
              <w:jc w:val="center"/>
            </w:pPr>
            <w:r>
              <w:rPr>
                <w:sz w:val="24"/>
                <w:u w:color="auto"/>
              </w:rPr>
              <w:t>TS002</w:t>
            </w:r>
            <w:r>
              <w:rPr>
                <w:u/>
              </w:rPr>
            </w:r>
          </w:p>
        </w:tc>
      </w:tr>
      <w:tr>
        <w:trPr>
          <w:trHeight w:val="850" w:hRule="atLeast"/>
        </w:trPr>
        <w:tc>
          <w:tcPr>
            <w:tcW w:w="1181" w:type="dxa"/>
            <w:vAlign w:val="center"/>
          </w:tcPr>
          <w:p>
            <w:pPr>
              <w:pBdr/>
              <w:ind/>
              <w:jc w:val="center"/>
            </w:pPr>
            <w:r>
              <w:rPr>
                <w:sz w:val="24"/>
                <w:u w:color="auto"/>
              </w:rPr>
              <w:t>HW49</w:t>
            </w:r>
            <w:r>
              <w:rPr>
                <w:u/>
              </w:rPr>
            </w:r>
          </w:p>
        </w:tc>
        <w:tc>
          <w:tcPr>
            <w:tcW w:w="1181" w:type="dxa"/>
            <w:vAlign w:val="center"/>
          </w:tcPr>
          <w:p>
            <w:pPr>
              <w:pBdr/>
              <w:ind/>
              <w:jc w:val="center"/>
            </w:pPr>
            <w:r>
              <w:rPr>
                <w:sz w:val="24"/>
                <w:u w:color="auto"/>
              </w:rPr>
              <w:t>900-039-49</w:t>
            </w:r>
            <w:r>
              <w:rPr>
                <w:u/>
              </w:rPr>
            </w:r>
          </w:p>
        </w:tc>
        <w:tc>
          <w:tcPr>
            <w:tcW w:w="1181" w:type="dxa"/>
            <w:vAlign w:val="center"/>
          </w:tcPr>
          <w:p>
            <w:pPr>
              <w:pBdr/>
              <w:ind/>
              <w:jc w:val="center"/>
            </w:pPr>
            <w:r>
              <w:rPr>
                <w:sz w:val="24"/>
                <w:u w:color="auto"/>
              </w:rPr>
              <w:t>毒性</w:t>
            </w:r>
            <w:r>
              <w:rPr>
                <w:u/>
              </w:rPr>
            </w:r>
          </w:p>
        </w:tc>
        <w:tc>
          <w:tcPr>
            <w:tcW w:w="1181" w:type="dxa"/>
            <w:vAlign w:val="center"/>
          </w:tcPr>
          <w:p>
            <w:pPr>
              <w:pBdr/>
              <w:ind/>
              <w:jc w:val="center"/>
            </w:pPr>
            <w:r>
              <w:rPr>
                <w:sz w:val="24"/>
                <w:u w:color="auto"/>
              </w:rPr>
              <w:t>废活性炭/抽滤废渣</w:t>
            </w:r>
            <w:r>
              <w:rPr>
                <w:u/>
              </w:rPr>
            </w:r>
          </w:p>
        </w:tc>
        <w:tc>
          <w:tcPr>
            <w:tcW w:w="1181" w:type="dxa"/>
            <w:vAlign w:val="center"/>
          </w:tcPr>
          <w:p>
            <w:pPr>
              <w:pBdr/>
              <w:ind/>
              <w:jc w:val="center"/>
            </w:pPr>
            <w:r>
              <w:rPr>
                <w:sz w:val="24"/>
                <w:u w:color="auto"/>
              </w:rPr>
              <w:t>固态</w:t>
            </w:r>
            <w:r>
              <w:rPr>
                <w:u/>
              </w:rPr>
            </w:r>
          </w:p>
        </w:tc>
        <w:tc>
          <w:tcPr>
            <w:tcW w:w="1181" w:type="dxa"/>
            <w:vAlign w:val="center"/>
          </w:tcPr>
          <w:p>
            <w:pPr>
              <w:pBdr/>
              <w:ind/>
              <w:jc w:val="center"/>
            </w:pPr>
            <w:r>
              <w:rPr>
                <w:sz w:val="24"/>
                <w:u w:color="auto"/>
              </w:rPr>
              <w:t>邻氨（硝）基苯酚生产装置</w:t>
            </w:r>
            <w:r>
              <w:rPr>
                <w:u/>
              </w:rPr>
            </w:r>
          </w:p>
        </w:tc>
        <w:tc>
          <w:tcPr>
            <w:tcW w:w="1181" w:type="dxa"/>
            <w:vAlign w:val="center"/>
          </w:tcPr>
          <w:p>
            <w:pPr>
              <w:pBdr/>
              <w:ind/>
              <w:jc w:val="center"/>
            </w:pPr>
            <w:r>
              <w:rPr>
                <w:sz w:val="24"/>
                <w:u w:color="auto"/>
              </w:rPr>
              <w:t>PU008</w:t>
            </w:r>
            <w:r>
              <w:rPr>
                <w:u/>
              </w:rPr>
            </w:r>
          </w:p>
        </w:tc>
        <w:tc>
          <w:tcPr>
            <w:tcW w:w="1181" w:type="dxa"/>
            <w:vAlign w:val="center"/>
          </w:tcPr>
          <w:p>
            <w:pPr>
              <w:pBdr/>
              <w:ind/>
              <w:jc w:val="center"/>
            </w:pPr>
            <w:r>
              <w:rPr>
                <w:sz w:val="24"/>
                <w:u w:color="auto"/>
              </w:rPr>
              <w:t>邻氨基苯酚生产</w:t>
            </w:r>
            <w:r>
              <w:rPr>
                <w:u/>
              </w:rPr>
            </w:r>
          </w:p>
        </w:tc>
        <w:tc>
          <w:tcPr>
            <w:tcW w:w="1181" w:type="dxa"/>
            <w:vAlign w:val="center"/>
          </w:tcPr>
          <w:p>
            <w:pPr>
              <w:pBdr/>
              <w:ind/>
              <w:jc w:val="center"/>
            </w:pPr>
            <w:r>
              <w:rPr>
                <w:sz w:val="24"/>
                <w:u w:color="auto"/>
              </w:rPr>
              <w:t>400</w:t>
            </w:r>
            <w:r>
              <w:rPr>
                <w:u/>
              </w:rPr>
            </w:r>
          </w:p>
        </w:tc>
        <w:tc>
          <w:tcPr>
            <w:tcW w:w="1181" w:type="dxa"/>
            <w:vAlign w:val="center"/>
          </w:tcPr>
          <w:p>
            <w:pPr>
              <w:pBdr/>
              <w:ind/>
              <w:jc w:val="center"/>
            </w:pPr>
            <w:r>
              <w:rPr>
                <w:sz w:val="24"/>
                <w:u w:color="auto"/>
              </w:rPr>
              <w:t>吨</w:t>
            </w:r>
            <w:r>
              <w:rPr>
                <w:u/>
              </w:rPr>
            </w:r>
          </w:p>
        </w:tc>
        <w:tc>
          <w:tcPr>
            <w:tcW w:w="1181" w:type="dxa"/>
            <w:vAlign w:val="center"/>
          </w:tcPr>
          <w:p>
            <w:pPr>
              <w:pBdr/>
              <w:ind/>
              <w:jc w:val="center"/>
            </w:pPr>
            <w:r>
              <w:rPr>
                <w:sz w:val="24"/>
                <w:u w:color="auto"/>
              </w:rPr>
              <w:t>危险废物仓库</w:t>
            </w:r>
            <w:r>
              <w:rPr>
                <w:u/>
              </w:rPr>
            </w:r>
          </w:p>
        </w:tc>
        <w:tc>
          <w:tcPr>
            <w:tcW w:w="1181" w:type="dxa"/>
            <w:vAlign w:val="center"/>
          </w:tcPr>
          <w:p>
            <w:pPr>
              <w:pBdr/>
              <w:ind/>
              <w:jc w:val="center"/>
            </w:pPr>
            <w:r>
              <w:rPr>
                <w:sz w:val="24"/>
                <w:u w:color="auto"/>
              </w:rPr>
              <w:t>TS002</w:t>
            </w:r>
            <w:r>
              <w:rPr>
                <w:u/>
              </w:rPr>
            </w:r>
          </w:p>
        </w:tc>
      </w:tr>
      <w:tr>
        <w:trPr>
          <w:trHeight w:val="850" w:hRule="atLeast"/>
        </w:trPr>
        <w:tc>
          <w:tcPr>
            <w:tcW w:w="1181" w:type="dxa"/>
            <w:vAlign w:val="center"/>
          </w:tcPr>
          <w:p>
            <w:pPr>
              <w:pBdr/>
              <w:ind/>
              <w:jc w:val="center"/>
            </w:pPr>
            <w:r>
              <w:rPr>
                <w:sz w:val="24"/>
                <w:u w:color="auto"/>
              </w:rPr>
              <w:t>HW49</w:t>
            </w:r>
            <w:r>
              <w:rPr>
                <w:u/>
              </w:rPr>
            </w:r>
          </w:p>
        </w:tc>
        <w:tc>
          <w:tcPr>
            <w:tcW w:w="1181" w:type="dxa"/>
            <w:vAlign w:val="center"/>
          </w:tcPr>
          <w:p>
            <w:pPr>
              <w:pBdr/>
              <w:ind/>
              <w:jc w:val="center"/>
            </w:pPr>
            <w:r>
              <w:rPr>
                <w:sz w:val="24"/>
                <w:u w:color="auto"/>
              </w:rPr>
              <w:t>900-041-49</w:t>
            </w:r>
            <w:r>
              <w:rPr>
                <w:u/>
              </w:rPr>
            </w:r>
          </w:p>
        </w:tc>
        <w:tc>
          <w:tcPr>
            <w:tcW w:w="1181" w:type="dxa"/>
            <w:vAlign w:val="center"/>
          </w:tcPr>
          <w:p>
            <w:pPr>
              <w:pBdr/>
              <w:ind/>
              <w:jc w:val="center"/>
            </w:pPr>
            <w:r>
              <w:rPr>
                <w:sz w:val="24"/>
                <w:u w:color="auto"/>
              </w:rPr>
              <w:t>毒性</w:t>
            </w:r>
            <w:r>
              <w:rPr>
                <w:u/>
              </w:rPr>
            </w:r>
          </w:p>
        </w:tc>
        <w:tc>
          <w:tcPr>
            <w:tcW w:w="1181" w:type="dxa"/>
            <w:vAlign w:val="center"/>
          </w:tcPr>
          <w:p>
            <w:pPr>
              <w:pBdr/>
              <w:ind/>
              <w:jc w:val="center"/>
            </w:pPr>
            <w:r>
              <w:rPr>
                <w:sz w:val="24"/>
                <w:u w:color="auto"/>
              </w:rPr>
              <w:t>废包装物</w:t>
            </w:r>
            <w:r>
              <w:rPr>
                <w:u/>
              </w:rPr>
            </w:r>
          </w:p>
        </w:tc>
        <w:tc>
          <w:tcPr>
            <w:tcW w:w="1181" w:type="dxa"/>
            <w:vAlign w:val="center"/>
          </w:tcPr>
          <w:p>
            <w:pPr>
              <w:pBdr/>
              <w:ind/>
              <w:jc w:val="center"/>
            </w:pPr>
            <w:r>
              <w:rPr>
                <w:sz w:val="24"/>
                <w:u w:color="auto"/>
              </w:rPr>
              <w:t>固态</w:t>
            </w:r>
            <w:r>
              <w:rPr>
                <w:u/>
              </w:rPr>
            </w:r>
          </w:p>
        </w:tc>
        <w:tc>
          <w:tcPr>
            <w:tcW w:w="1181" w:type="dxa"/>
            <w:vAlign w:val="center"/>
          </w:tcPr>
          <w:p>
            <w:pPr>
              <w:pBdr/>
              <w:ind/>
              <w:jc w:val="center"/>
            </w:pPr>
            <w:r>
              <w:rPr>
                <w:sz w:val="24"/>
                <w:u w:color="auto"/>
              </w:rPr>
              <w:t>邻氨（硝）基苯酚生产装置</w:t>
            </w:r>
            <w:r>
              <w:rPr>
                <w:u/>
              </w:rPr>
            </w:r>
          </w:p>
        </w:tc>
        <w:tc>
          <w:tcPr>
            <w:tcW w:w="1181" w:type="dxa"/>
            <w:vAlign w:val="center"/>
          </w:tcPr>
          <w:p>
            <w:pPr>
              <w:pBdr/>
              <w:ind/>
              <w:jc w:val="center"/>
            </w:pPr>
            <w:r>
              <w:rPr>
                <w:sz w:val="24"/>
                <w:u w:color="auto"/>
              </w:rPr>
              <w:t>PU008</w:t>
            </w:r>
            <w:r>
              <w:rPr>
                <w:u/>
              </w:rPr>
            </w:r>
          </w:p>
        </w:tc>
        <w:tc>
          <w:tcPr>
            <w:tcW w:w="1181" w:type="dxa"/>
            <w:vAlign w:val="center"/>
          </w:tcPr>
          <w:p>
            <w:pPr>
              <w:pBdr/>
              <w:ind/>
              <w:jc w:val="center"/>
            </w:pPr>
            <w:r>
              <w:rPr>
                <w:sz w:val="24"/>
                <w:u w:color="auto"/>
              </w:rPr>
              <w:t>原辅材料包装产生</w:t>
            </w:r>
            <w:r>
              <w:rPr>
                <w:u/>
              </w:rPr>
            </w:r>
          </w:p>
        </w:tc>
        <w:tc>
          <w:tcPr>
            <w:tcW w:w="1181" w:type="dxa"/>
            <w:vAlign w:val="center"/>
          </w:tcPr>
          <w:p>
            <w:pPr>
              <w:pBdr/>
              <w:ind/>
              <w:jc w:val="center"/>
            </w:pPr>
            <w:r>
              <w:rPr>
                <w:sz w:val="24"/>
                <w:u w:color="auto"/>
              </w:rPr>
              <w:t>100</w:t>
            </w:r>
            <w:r>
              <w:rPr>
                <w:u/>
              </w:rPr>
            </w:r>
          </w:p>
        </w:tc>
        <w:tc>
          <w:tcPr>
            <w:tcW w:w="1181" w:type="dxa"/>
            <w:vAlign w:val="center"/>
          </w:tcPr>
          <w:p>
            <w:pPr>
              <w:pBdr/>
              <w:ind/>
              <w:jc w:val="center"/>
            </w:pPr>
            <w:r>
              <w:rPr>
                <w:sz w:val="24"/>
                <w:u w:color="auto"/>
              </w:rPr>
              <w:t>吨</w:t>
            </w:r>
            <w:r>
              <w:rPr>
                <w:u/>
              </w:rPr>
            </w:r>
          </w:p>
        </w:tc>
        <w:tc>
          <w:tcPr>
            <w:tcW w:w="1181" w:type="dxa"/>
            <w:vAlign w:val="center"/>
          </w:tcPr>
          <w:p>
            <w:pPr>
              <w:pBdr/>
              <w:ind/>
              <w:jc w:val="center"/>
            </w:pPr>
            <w:r>
              <w:rPr>
                <w:sz w:val="24"/>
                <w:u w:color="auto"/>
              </w:rPr>
              <w:t>危险废物仓库</w:t>
            </w:r>
            <w:r>
              <w:rPr>
                <w:u/>
              </w:rPr>
            </w:r>
          </w:p>
        </w:tc>
        <w:tc>
          <w:tcPr>
            <w:tcW w:w="1181" w:type="dxa"/>
            <w:vAlign w:val="center"/>
          </w:tcPr>
          <w:p>
            <w:pPr>
              <w:pBdr/>
              <w:ind/>
              <w:jc w:val="center"/>
            </w:pPr>
            <w:r>
              <w:rPr>
                <w:sz w:val="24"/>
                <w:u w:color="auto"/>
              </w:rPr>
              <w:t>TS002</w:t>
            </w:r>
            <w:r>
              <w:rPr>
                <w:u/>
              </w:rPr>
            </w:r>
          </w:p>
        </w:tc>
      </w:tr>
      <w:tr>
        <w:trPr>
          <w:trHeight w:val="850" w:hRule="atLeast"/>
        </w:trPr>
        <w:tc>
          <w:tcPr>
            <w:tcW w:w="1181" w:type="dxa"/>
            <w:vAlign w:val="center"/>
          </w:tcPr>
          <w:p>
            <w:pPr>
              <w:pBdr/>
              <w:ind/>
              <w:jc w:val="center"/>
            </w:pPr>
            <w:r>
              <w:rPr>
                <w:sz w:val="24"/>
                <w:u w:color="auto"/>
              </w:rPr>
              <w:t>HW49</w:t>
            </w:r>
            <w:r>
              <w:rPr>
                <w:u/>
              </w:rPr>
            </w:r>
          </w:p>
        </w:tc>
        <w:tc>
          <w:tcPr>
            <w:tcW w:w="1181" w:type="dxa"/>
            <w:vAlign w:val="center"/>
          </w:tcPr>
          <w:p>
            <w:pPr>
              <w:pBdr/>
              <w:ind/>
              <w:jc w:val="center"/>
            </w:pPr>
            <w:r>
              <w:rPr>
                <w:sz w:val="24"/>
                <w:u w:color="auto"/>
              </w:rPr>
              <w:t>900-047-49</w:t>
            </w:r>
            <w:r>
              <w:rPr>
                <w:u/>
              </w:rPr>
            </w:r>
          </w:p>
        </w:tc>
        <w:tc>
          <w:tcPr>
            <w:tcW w:w="1181" w:type="dxa"/>
            <w:vAlign w:val="center"/>
          </w:tcPr>
          <w:p>
            <w:pPr>
              <w:pBdr/>
              <w:ind/>
              <w:jc w:val="center"/>
            </w:pPr>
            <w:r>
              <w:rPr>
                <w:sz w:val="24"/>
                <w:u w:color="auto"/>
              </w:rPr>
              <w:t>毒性, 易燃性</w:t>
            </w:r>
            <w:r>
              <w:rPr>
                <w:u/>
              </w:rPr>
            </w:r>
          </w:p>
        </w:tc>
        <w:tc>
          <w:tcPr>
            <w:tcW w:w="1181" w:type="dxa"/>
            <w:vAlign w:val="center"/>
          </w:tcPr>
          <w:p>
            <w:pPr>
              <w:pBdr/>
              <w:ind/>
              <w:jc w:val="center"/>
            </w:pPr>
            <w:r>
              <w:rPr>
                <w:sz w:val="24"/>
                <w:u w:color="auto"/>
              </w:rPr>
              <w:t>化验室废液</w:t>
            </w:r>
            <w:r>
              <w:rPr>
                <w:u/>
              </w:rPr>
            </w:r>
          </w:p>
        </w:tc>
        <w:tc>
          <w:tcPr>
            <w:tcW w:w="1181" w:type="dxa"/>
            <w:vAlign w:val="center"/>
          </w:tcPr>
          <w:p>
            <w:pPr>
              <w:pBdr/>
              <w:ind/>
              <w:jc w:val="center"/>
            </w:pPr>
            <w:r>
              <w:rPr>
                <w:sz w:val="24"/>
                <w:u w:color="auto"/>
              </w:rPr>
              <w:t>液态</w:t>
            </w:r>
            <w:r>
              <w:rPr>
                <w:u/>
              </w:rPr>
            </w:r>
          </w:p>
        </w:tc>
        <w:tc>
          <w:tcPr>
            <w:tcW w:w="1181" w:type="dxa"/>
            <w:vAlign w:val="center"/>
          </w:tcPr>
          <w:p>
            <w:pPr>
              <w:pBdr/>
              <w:ind/>
              <w:jc w:val="center"/>
            </w:pPr>
            <w:r>
              <w:rPr>
                <w:sz w:val="24"/>
                <w:u w:color="auto"/>
              </w:rPr>
              <w:t>硝基氯苯生产装置</w:t>
            </w:r>
            <w:r>
              <w:rPr>
                <w:u/>
              </w:rPr>
            </w:r>
          </w:p>
        </w:tc>
        <w:tc>
          <w:tcPr>
            <w:tcW w:w="1181" w:type="dxa"/>
            <w:vAlign w:val="center"/>
          </w:tcPr>
          <w:p>
            <w:pPr>
              <w:pBdr/>
              <w:ind/>
              <w:jc w:val="center"/>
            </w:pPr>
            <w:r>
              <w:rPr>
                <w:sz w:val="24"/>
                <w:u w:color="auto"/>
              </w:rPr>
              <w:t>PU007</w:t>
            </w:r>
            <w:r>
              <w:rPr>
                <w:u/>
              </w:rPr>
            </w:r>
          </w:p>
        </w:tc>
        <w:tc>
          <w:tcPr>
            <w:tcW w:w="1181" w:type="dxa"/>
            <w:vAlign w:val="center"/>
          </w:tcPr>
          <w:p>
            <w:pPr>
              <w:pBdr/>
              <w:ind/>
              <w:jc w:val="center"/>
            </w:pPr>
            <w:r>
              <w:rPr>
                <w:sz w:val="24"/>
                <w:u w:color="auto"/>
              </w:rPr>
              <w:t>化验室废液、在线监测废液</w:t>
            </w:r>
            <w:r>
              <w:rPr>
                <w:u/>
              </w:rPr>
            </w:r>
          </w:p>
        </w:tc>
        <w:tc>
          <w:tcPr>
            <w:tcW w:w="1181" w:type="dxa"/>
            <w:vAlign w:val="center"/>
          </w:tcPr>
          <w:p>
            <w:pPr>
              <w:pBdr/>
              <w:ind/>
              <w:jc w:val="center"/>
            </w:pPr>
            <w:r>
              <w:rPr>
                <w:sz w:val="24"/>
                <w:u w:color="auto"/>
              </w:rPr>
              <w:t>10</w:t>
            </w:r>
            <w:r>
              <w:rPr>
                <w:u/>
              </w:rPr>
            </w:r>
          </w:p>
        </w:tc>
        <w:tc>
          <w:tcPr>
            <w:tcW w:w="1181" w:type="dxa"/>
            <w:vAlign w:val="center"/>
          </w:tcPr>
          <w:p>
            <w:pPr>
              <w:pBdr/>
              <w:ind/>
              <w:jc w:val="center"/>
            </w:pPr>
            <w:r>
              <w:rPr>
                <w:sz w:val="24"/>
                <w:u w:color="auto"/>
              </w:rPr>
              <w:t>吨</w:t>
            </w:r>
            <w:r>
              <w:rPr>
                <w:u/>
              </w:rPr>
            </w:r>
          </w:p>
        </w:tc>
        <w:tc>
          <w:tcPr>
            <w:tcW w:w="1181" w:type="dxa"/>
            <w:vAlign w:val="center"/>
          </w:tcPr>
          <w:p>
            <w:pPr>
              <w:pBdr/>
              <w:ind/>
              <w:jc w:val="center"/>
            </w:pPr>
            <w:r>
              <w:rPr>
                <w:sz w:val="24"/>
                <w:u w:color="auto"/>
              </w:rPr>
              <w:t>危险废物仓库</w:t>
            </w:r>
            <w:r>
              <w:rPr>
                <w:u/>
              </w:rPr>
            </w:r>
          </w:p>
        </w:tc>
        <w:tc>
          <w:tcPr>
            <w:tcW w:w="1181" w:type="dxa"/>
            <w:vAlign w:val="center"/>
          </w:tcPr>
          <w:p>
            <w:pPr>
              <w:pBdr/>
              <w:ind/>
              <w:jc w:val="center"/>
            </w:pPr>
            <w:r>
              <w:rPr>
                <w:sz w:val="24"/>
                <w:u w:color="auto"/>
              </w:rPr>
              <w:t>TS002</w:t>
            </w:r>
            <w:r>
              <w:rPr>
                <w:u/>
              </w:rPr>
            </w:r>
          </w:p>
        </w:tc>
      </w:tr>
      <w:tr>
        <w:trPr>
          <w:trHeight w:val="850" w:hRule="atLeast"/>
        </w:trPr>
        <w:tc>
          <w:tcPr>
            <w:tcW w:w="1181" w:type="dxa"/>
            <w:vAlign w:val="center"/>
          </w:tcPr>
          <w:p>
            <w:pPr>
              <w:pBdr/>
              <w:ind/>
              <w:jc w:val="center"/>
            </w:pPr>
            <w:r>
              <w:rPr>
                <w:sz w:val="24"/>
                <w:u w:color="auto"/>
              </w:rPr>
              <w:t>HW08</w:t>
            </w:r>
            <w:r>
              <w:rPr>
                <w:u/>
              </w:rPr>
            </w:r>
          </w:p>
        </w:tc>
        <w:tc>
          <w:tcPr>
            <w:tcW w:w="1181" w:type="dxa"/>
            <w:vAlign w:val="center"/>
          </w:tcPr>
          <w:p>
            <w:pPr>
              <w:pBdr/>
              <w:ind/>
              <w:jc w:val="center"/>
            </w:pPr>
            <w:r>
              <w:rPr>
                <w:sz w:val="24"/>
                <w:u w:color="auto"/>
              </w:rPr>
              <w:t>900-217-08</w:t>
            </w:r>
            <w:r>
              <w:rPr>
                <w:u/>
              </w:rPr>
            </w:r>
          </w:p>
        </w:tc>
        <w:tc>
          <w:tcPr>
            <w:tcW w:w="1181" w:type="dxa"/>
            <w:vAlign w:val="center"/>
          </w:tcPr>
          <w:p>
            <w:pPr>
              <w:pBdr/>
              <w:ind/>
              <w:jc w:val="center"/>
            </w:pPr>
            <w:r>
              <w:rPr>
                <w:sz w:val="24"/>
                <w:u w:color="auto"/>
              </w:rPr>
              <w:t>易燃性</w:t>
            </w:r>
            <w:r>
              <w:rPr>
                <w:u/>
              </w:rPr>
            </w:r>
          </w:p>
        </w:tc>
        <w:tc>
          <w:tcPr>
            <w:tcW w:w="1181" w:type="dxa"/>
            <w:vAlign w:val="center"/>
          </w:tcPr>
          <w:p>
            <w:pPr>
              <w:pBdr/>
              <w:ind/>
              <w:jc w:val="center"/>
            </w:pPr>
            <w:r>
              <w:rPr>
                <w:sz w:val="24"/>
                <w:u w:color="auto"/>
              </w:rPr>
              <w:t>废矿物油</w:t>
            </w:r>
            <w:r>
              <w:rPr>
                <w:u/>
              </w:rPr>
            </w:r>
          </w:p>
        </w:tc>
        <w:tc>
          <w:tcPr>
            <w:tcW w:w="1181" w:type="dxa"/>
            <w:vAlign w:val="center"/>
          </w:tcPr>
          <w:p>
            <w:pPr>
              <w:pBdr/>
              <w:ind/>
              <w:jc w:val="center"/>
            </w:pPr>
            <w:r>
              <w:rPr>
                <w:sz w:val="24"/>
                <w:u w:color="auto"/>
              </w:rPr>
              <w:t>液态</w:t>
            </w:r>
            <w:r>
              <w:rPr>
                <w:u/>
              </w:rPr>
            </w:r>
          </w:p>
        </w:tc>
        <w:tc>
          <w:tcPr>
            <w:tcW w:w="1181" w:type="dxa"/>
            <w:vAlign w:val="center"/>
          </w:tcPr>
          <w:p>
            <w:pPr>
              <w:pBdr/>
              <w:ind/>
              <w:jc w:val="center"/>
            </w:pPr>
            <w:r>
              <w:rPr>
                <w:sz w:val="24"/>
                <w:u w:color="auto"/>
              </w:rPr>
              <w:t>动力系统</w:t>
            </w:r>
            <w:r>
              <w:rPr>
                <w:u/>
              </w:rPr>
            </w:r>
          </w:p>
        </w:tc>
        <w:tc>
          <w:tcPr>
            <w:tcW w:w="1181" w:type="dxa"/>
            <w:vAlign w:val="center"/>
          </w:tcPr>
          <w:p>
            <w:pPr>
              <w:pBdr/>
              <w:ind/>
              <w:jc w:val="center"/>
            </w:pPr>
            <w:r>
              <w:rPr>
                <w:sz w:val="24"/>
                <w:u w:color="auto"/>
              </w:rPr>
              <w:t>PU001</w:t>
            </w:r>
            <w:r>
              <w:rPr>
                <w:u/>
              </w:rPr>
            </w:r>
          </w:p>
        </w:tc>
        <w:tc>
          <w:tcPr>
            <w:tcW w:w="1181" w:type="dxa"/>
            <w:vAlign w:val="center"/>
          </w:tcPr>
          <w:p>
            <w:pPr>
              <w:pBdr/>
              <w:ind/>
              <w:jc w:val="center"/>
            </w:pPr>
            <w:r>
              <w:rPr>
                <w:sz w:val="24"/>
                <w:u w:color="auto"/>
              </w:rPr>
              <w:t>空压机冷却油</w:t>
            </w:r>
            <w:r>
              <w:rPr>
                <w:u/>
              </w:rPr>
            </w:r>
          </w:p>
        </w:tc>
        <w:tc>
          <w:tcPr>
            <w:tcW w:w="1181" w:type="dxa"/>
            <w:vAlign w:val="center"/>
          </w:tcPr>
          <w:p>
            <w:pPr>
              <w:pBdr/>
              <w:ind/>
              <w:jc w:val="center"/>
            </w:pPr>
            <w:r>
              <w:rPr>
                <w:sz w:val="24"/>
                <w:u w:color="auto"/>
              </w:rPr>
              <w:t>30</w:t>
            </w:r>
            <w:r>
              <w:rPr>
                <w:u/>
              </w:rPr>
            </w:r>
          </w:p>
        </w:tc>
        <w:tc>
          <w:tcPr>
            <w:tcW w:w="1181" w:type="dxa"/>
            <w:vAlign w:val="center"/>
          </w:tcPr>
          <w:p>
            <w:pPr>
              <w:pBdr/>
              <w:ind/>
              <w:jc w:val="center"/>
            </w:pPr>
            <w:r>
              <w:rPr>
                <w:sz w:val="24"/>
                <w:u w:color="auto"/>
              </w:rPr>
              <w:t>吨</w:t>
            </w:r>
            <w:r>
              <w:rPr>
                <w:u/>
              </w:rPr>
            </w:r>
          </w:p>
        </w:tc>
        <w:tc>
          <w:tcPr>
            <w:tcW w:w="1181" w:type="dxa"/>
            <w:vAlign w:val="center"/>
          </w:tcPr>
          <w:p>
            <w:pPr>
              <w:pBdr/>
              <w:ind/>
              <w:jc w:val="center"/>
            </w:pPr>
            <w:r>
              <w:rPr>
                <w:sz w:val="24"/>
                <w:u w:color="auto"/>
              </w:rPr>
              <w:t>危险废物仓库</w:t>
            </w:r>
            <w:r>
              <w:rPr>
                <w:u/>
              </w:rPr>
            </w:r>
          </w:p>
        </w:tc>
        <w:tc>
          <w:tcPr>
            <w:tcW w:w="1181" w:type="dxa"/>
            <w:vAlign w:val="center"/>
          </w:tcPr>
          <w:p>
            <w:pPr>
              <w:pBdr/>
              <w:ind/>
              <w:jc w:val="center"/>
            </w:pPr>
            <w:r>
              <w:rPr>
                <w:sz w:val="24"/>
                <w:u w:color="auto"/>
              </w:rPr>
              <w:t>TS002</w:t>
            </w:r>
            <w:r>
              <w:rPr>
                <w:u/>
              </w:rPr>
            </w:r>
          </w:p>
        </w:tc>
      </w:tr>
      <w:tr>
        <w:trPr>
          <w:trHeight w:val="850" w:hRule="atLeast"/>
        </w:trPr>
        <w:tc>
          <w:tcPr>
            <w:tcW w:w="1181" w:type="dxa"/>
            <w:vAlign w:val="center"/>
          </w:tcPr>
          <w:p>
            <w:pPr>
              <w:pBdr/>
              <w:ind/>
              <w:jc w:val="center"/>
            </w:pPr>
            <w:r>
              <w:rPr>
                <w:sz w:val="24"/>
                <w:u w:color="auto"/>
              </w:rPr>
              <w:t>HW06</w:t>
            </w:r>
            <w:r>
              <w:rPr>
                <w:u/>
              </w:rPr>
            </w:r>
          </w:p>
        </w:tc>
        <w:tc>
          <w:tcPr>
            <w:tcW w:w="1181" w:type="dxa"/>
            <w:vAlign w:val="center"/>
          </w:tcPr>
          <w:p>
            <w:pPr>
              <w:pBdr/>
              <w:ind/>
              <w:jc w:val="center"/>
            </w:pPr>
            <w:r>
              <w:rPr>
                <w:sz w:val="24"/>
                <w:u w:color="auto"/>
              </w:rPr>
              <w:t>900-402-06</w:t>
            </w:r>
            <w:r>
              <w:rPr>
                <w:u/>
              </w:rPr>
            </w:r>
          </w:p>
        </w:tc>
        <w:tc>
          <w:tcPr>
            <w:tcW w:w="1181" w:type="dxa"/>
            <w:vAlign w:val="center"/>
          </w:tcPr>
          <w:p>
            <w:pPr>
              <w:pBdr/>
              <w:ind/>
              <w:jc w:val="center"/>
            </w:pPr>
            <w:r>
              <w:rPr>
                <w:sz w:val="24"/>
                <w:u w:color="auto"/>
              </w:rPr>
              <w:t>毒性, 易燃性, 反应性</w:t>
            </w:r>
            <w:r>
              <w:rPr>
                <w:u/>
              </w:rPr>
            </w:r>
          </w:p>
        </w:tc>
        <w:tc>
          <w:tcPr>
            <w:tcW w:w="1181" w:type="dxa"/>
            <w:vAlign w:val="center"/>
          </w:tcPr>
          <w:p>
            <w:pPr>
              <w:pBdr/>
              <w:ind/>
              <w:jc w:val="center"/>
            </w:pPr>
            <w:r>
              <w:rPr>
                <w:sz w:val="24"/>
                <w:u w:color="auto"/>
              </w:rPr>
              <w:t>结晶釜残</w:t>
            </w:r>
            <w:r>
              <w:rPr>
                <w:u/>
              </w:rPr>
            </w:r>
          </w:p>
        </w:tc>
        <w:tc>
          <w:tcPr>
            <w:tcW w:w="1181" w:type="dxa"/>
            <w:vAlign w:val="center"/>
          </w:tcPr>
          <w:p>
            <w:pPr>
              <w:pBdr/>
              <w:ind/>
              <w:jc w:val="center"/>
            </w:pPr>
            <w:r>
              <w:rPr>
                <w:sz w:val="24"/>
                <w:u w:color="auto"/>
              </w:rPr>
              <w:t>半固态</w:t>
            </w:r>
            <w:r>
              <w:rPr>
                <w:u/>
              </w:rPr>
            </w:r>
          </w:p>
        </w:tc>
        <w:tc>
          <w:tcPr>
            <w:tcW w:w="1181" w:type="dxa"/>
            <w:vAlign w:val="center"/>
          </w:tcPr>
          <w:p>
            <w:pPr>
              <w:pBdr/>
              <w:ind/>
              <w:jc w:val="center"/>
            </w:pPr>
            <w:r>
              <w:rPr>
                <w:sz w:val="24"/>
                <w:u w:color="auto"/>
              </w:rPr>
              <w:t>硝基酚衍生精细化学品生产装置</w:t>
            </w:r>
            <w:r>
              <w:rPr>
                <w:u/>
              </w:rPr>
            </w:r>
          </w:p>
        </w:tc>
        <w:tc>
          <w:tcPr>
            <w:tcW w:w="1181" w:type="dxa"/>
            <w:vAlign w:val="center"/>
          </w:tcPr>
          <w:p>
            <w:pPr>
              <w:pBdr/>
              <w:ind/>
              <w:jc w:val="center"/>
            </w:pPr>
            <w:r>
              <w:rPr>
                <w:sz w:val="24"/>
                <w:u w:color="auto"/>
              </w:rPr>
              <w:t>PU011</w:t>
            </w:r>
            <w:r>
              <w:rPr>
                <w:u/>
              </w:rPr>
            </w:r>
          </w:p>
        </w:tc>
        <w:tc>
          <w:tcPr>
            <w:tcW w:w="1181" w:type="dxa"/>
            <w:vAlign w:val="center"/>
          </w:tcPr>
          <w:p>
            <w:pPr>
              <w:pBdr/>
              <w:ind/>
              <w:jc w:val="center"/>
            </w:pPr>
            <w:r>
              <w:rPr>
                <w:sz w:val="24"/>
                <w:u w:color="auto"/>
              </w:rPr>
              <w:t>结晶釜</w:t>
            </w:r>
            <w:r>
              <w:rPr>
                <w:u/>
              </w:rPr>
            </w:r>
          </w:p>
        </w:tc>
        <w:tc>
          <w:tcPr>
            <w:tcW w:w="1181" w:type="dxa"/>
            <w:vAlign w:val="center"/>
          </w:tcPr>
          <w:p>
            <w:pPr>
              <w:pBdr/>
              <w:ind/>
              <w:jc w:val="center"/>
            </w:pPr>
            <w:r>
              <w:rPr>
                <w:sz w:val="24"/>
                <w:u w:color="auto"/>
              </w:rPr>
              <w:t>100</w:t>
            </w:r>
            <w:r>
              <w:rPr>
                <w:u/>
              </w:rPr>
            </w:r>
          </w:p>
        </w:tc>
        <w:tc>
          <w:tcPr>
            <w:tcW w:w="1181" w:type="dxa"/>
            <w:vAlign w:val="center"/>
          </w:tcPr>
          <w:p>
            <w:pPr>
              <w:pBdr/>
              <w:ind/>
              <w:jc w:val="center"/>
            </w:pPr>
            <w:r>
              <w:rPr>
                <w:sz w:val="24"/>
                <w:u w:color="auto"/>
              </w:rPr>
              <w:t>吨</w:t>
            </w:r>
            <w:r>
              <w:rPr>
                <w:u/>
              </w:rPr>
            </w:r>
          </w:p>
        </w:tc>
        <w:tc>
          <w:tcPr>
            <w:tcW w:w="1181" w:type="dxa"/>
            <w:vAlign w:val="center"/>
          </w:tcPr>
          <w:p>
            <w:pPr>
              <w:pBdr/>
              <w:ind/>
              <w:jc w:val="center"/>
            </w:pPr>
            <w:r>
              <w:rPr>
                <w:sz w:val="24"/>
                <w:u w:color="auto"/>
              </w:rPr>
              <w:t>危险废物仓库</w:t>
            </w:r>
            <w:r>
              <w:rPr>
                <w:u/>
              </w:rPr>
            </w:r>
          </w:p>
        </w:tc>
        <w:tc>
          <w:tcPr>
            <w:tcW w:w="1181" w:type="dxa"/>
            <w:vAlign w:val="center"/>
          </w:tcPr>
          <w:p>
            <w:pPr>
              <w:pBdr/>
              <w:ind/>
              <w:jc w:val="center"/>
            </w:pPr>
            <w:r>
              <w:rPr>
                <w:sz w:val="24"/>
                <w:u w:color="auto"/>
              </w:rPr>
              <w:t>TS002</w:t>
            </w:r>
            <w:r>
              <w:rPr>
                <w:u/>
              </w:rPr>
            </w:r>
          </w:p>
        </w:tc>
      </w:tr>
    </w:tbl>
    <w:p>
      <w:pPr>
        <w:rPr>
          <w:rFonts w:ascii="黑体" w:hAnsi="黑体" w:eastAsia="黑体" w:cs="黑体"/>
          <w:spacing w:val="-6"/>
          <w:sz w:val="30"/>
          <w:szCs w:val="30"/>
        </w:rPr>
      </w:pPr>
      <w:r>
        <w:rPr>
          <w:rFonts w:ascii="黑体" w:hAnsi="黑体" w:eastAsia="黑体" w:cs="黑体"/>
          <w:spacing w:val="-6"/>
          <w:sz w:val="30"/>
          <w:szCs w:val="30"/>
        </w:rPr>
        <w:br w:type="page"/>
      </w:r>
    </w:p>
    <w:p>
      <w:pPr>
        <w:spacing w:before="20" w:line="219" w:lineRule="auto"/>
        <w:ind w:firstLine="4608" w:firstLineChars="1600"/>
        <w:jc w:val="both"/>
        <w:rPr>
          <w:rFonts w:ascii="黑体" w:hAnsi="黑体" w:eastAsia="黑体" w:cs="黑体"/>
          <w:spacing w:val="-3"/>
          <w:sz w:val="30"/>
          <w:szCs w:val="30"/>
        </w:rPr>
      </w:pPr>
      <w:r>
        <w:rPr>
          <w:rFonts w:ascii="黑体" w:hAnsi="黑体" w:eastAsia="黑体" w:cs="黑体"/>
          <w:spacing w:val="-6"/>
          <w:sz w:val="30"/>
          <w:szCs w:val="30"/>
        </w:rPr>
        <w:t xml:space="preserve">表 </w:t>
      </w:r>
      <w:r>
        <w:rPr>
          <w:rFonts w:hint="eastAsia" w:ascii="黑体" w:hAnsi="黑体" w:eastAsia="黑体" w:cs="黑体"/>
          <w:spacing w:val="-6"/>
          <w:sz w:val="30"/>
          <w:szCs w:val="30"/>
          <w:lang w:val="en-US" w:eastAsia="zh-CN"/>
        </w:rPr>
        <w:t>5</w:t>
      </w:r>
      <w:r>
        <w:rPr>
          <w:rFonts w:ascii="黑体" w:hAnsi="黑体" w:eastAsia="黑体" w:cs="黑体"/>
          <w:spacing w:val="-3"/>
          <w:sz w:val="30"/>
          <w:szCs w:val="30"/>
        </w:rPr>
        <w:t xml:space="preserve">  危险废物贮存情况信息表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7"/>
        <w:gridCol w:w="1184"/>
        <w:gridCol w:w="1078"/>
        <w:gridCol w:w="1236"/>
        <w:gridCol w:w="1078"/>
        <w:gridCol w:w="1078"/>
        <w:gridCol w:w="1078"/>
        <w:gridCol w:w="1078"/>
        <w:gridCol w:w="1078"/>
        <w:gridCol w:w="1079"/>
        <w:gridCol w:w="1079"/>
        <w:gridCol w:w="1079"/>
        <w:gridCol w:w="1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967" w:type="dxa"/>
            <w:vMerge w:val="restart"/>
            <w:vAlign w:val="center"/>
          </w:tcPr>
          <w:p>
            <w:pPr>
              <w:spacing w:before="20" w:line="219" w:lineRule="auto"/>
              <w:jc w:val="center"/>
              <w:rPr>
                <w:rFonts w:hint="eastAsia" w:ascii="黑体" w:hAnsi="黑体" w:eastAsia="黑体" w:cs="黑体"/>
                <w:b/>
                <w:bCs/>
                <w:spacing w:val="-3"/>
                <w:sz w:val="24"/>
                <w:szCs w:val="24"/>
                <w:vertAlign w:val="baseline"/>
                <w:lang w:val="en-US" w:eastAsia="zh-CN"/>
              </w:rPr>
            </w:pPr>
            <w:r>
              <w:rPr>
                <w:rFonts w:hint="eastAsia" w:ascii="黑体" w:hAnsi="黑体" w:eastAsia="黑体" w:cs="黑体"/>
                <w:b/>
                <w:bCs/>
                <w:spacing w:val="-3"/>
                <w:sz w:val="24"/>
                <w:szCs w:val="24"/>
                <w:vertAlign w:val="baseline"/>
                <w:lang w:val="en-US" w:eastAsia="zh-CN"/>
              </w:rPr>
              <w:t>序号</w:t>
            </w:r>
          </w:p>
        </w:tc>
        <w:tc>
          <w:tcPr>
            <w:tcW w:w="1184" w:type="dxa"/>
            <w:vMerge w:val="restart"/>
            <w:vAlign w:val="center"/>
          </w:tcPr>
          <w:p>
            <w:pPr>
              <w:spacing w:before="20" w:line="219" w:lineRule="auto"/>
              <w:jc w:val="center"/>
              <w:rPr>
                <w:rFonts w:hint="eastAsia" w:ascii="黑体" w:hAnsi="黑体" w:eastAsia="黑体" w:cs="黑体"/>
                <w:b/>
                <w:bCs/>
                <w:spacing w:val="-3"/>
                <w:sz w:val="24"/>
                <w:szCs w:val="24"/>
                <w:vertAlign w:val="baseline"/>
                <w:lang w:val="en-US" w:eastAsia="zh-CN"/>
              </w:rPr>
            </w:pPr>
            <w:r>
              <w:rPr>
                <w:rFonts w:hint="eastAsia" w:ascii="黑体" w:hAnsi="黑体" w:eastAsia="黑体" w:cs="黑体"/>
                <w:b/>
                <w:bCs/>
                <w:spacing w:val="-3"/>
                <w:sz w:val="24"/>
                <w:szCs w:val="24"/>
                <w:vertAlign w:val="baseline"/>
                <w:lang w:val="en-US" w:eastAsia="zh-CN"/>
              </w:rPr>
              <w:t>贮存设施编码</w:t>
            </w:r>
          </w:p>
        </w:tc>
        <w:tc>
          <w:tcPr>
            <w:tcW w:w="1078" w:type="dxa"/>
            <w:vMerge w:val="restart"/>
            <w:vAlign w:val="center"/>
          </w:tcPr>
          <w:p>
            <w:pPr>
              <w:spacing w:before="20" w:line="219" w:lineRule="auto"/>
              <w:jc w:val="center"/>
              <w:rPr>
                <w:rFonts w:hint="eastAsia" w:ascii="黑体" w:hAnsi="黑体" w:eastAsia="黑体" w:cs="黑体"/>
                <w:b/>
                <w:bCs/>
                <w:spacing w:val="-3"/>
                <w:sz w:val="24"/>
                <w:szCs w:val="24"/>
                <w:vertAlign w:val="baseline"/>
                <w:lang w:val="en-US" w:eastAsia="zh-CN"/>
              </w:rPr>
            </w:pPr>
            <w:r>
              <w:rPr>
                <w:rFonts w:hint="eastAsia" w:ascii="黑体" w:hAnsi="黑体" w:eastAsia="黑体" w:cs="黑体"/>
                <w:b/>
                <w:bCs/>
                <w:spacing w:val="-3"/>
                <w:sz w:val="24"/>
                <w:szCs w:val="24"/>
                <w:vertAlign w:val="baseline"/>
                <w:lang w:val="en-US" w:eastAsia="zh-CN"/>
              </w:rPr>
              <w:t>贮存设施类型</w:t>
            </w:r>
          </w:p>
        </w:tc>
        <w:tc>
          <w:tcPr>
            <w:tcW w:w="2314" w:type="dxa"/>
            <w:gridSpan w:val="2"/>
            <w:vAlign w:val="center"/>
          </w:tcPr>
          <w:p>
            <w:pPr>
              <w:spacing w:before="20" w:line="219" w:lineRule="auto"/>
              <w:jc w:val="center"/>
              <w:rPr>
                <w:rFonts w:hint="eastAsia" w:ascii="黑体" w:hAnsi="黑体" w:eastAsia="黑体" w:cs="黑体"/>
                <w:b/>
                <w:bCs/>
                <w:spacing w:val="-3"/>
                <w:sz w:val="24"/>
                <w:szCs w:val="24"/>
                <w:vertAlign w:val="baseline"/>
                <w:lang w:val="en-US" w:eastAsia="zh-CN"/>
              </w:rPr>
            </w:pPr>
            <w:r>
              <w:rPr>
                <w:rFonts w:hint="eastAsia" w:ascii="黑体" w:hAnsi="黑体" w:eastAsia="黑体" w:cs="黑体"/>
                <w:b/>
                <w:bCs/>
                <w:spacing w:val="-3"/>
                <w:sz w:val="24"/>
                <w:szCs w:val="24"/>
                <w:vertAlign w:val="baseline"/>
                <w:lang w:val="en-US" w:eastAsia="zh-CN"/>
              </w:rPr>
              <w:t>危险废物名称</w:t>
            </w:r>
          </w:p>
        </w:tc>
        <w:tc>
          <w:tcPr>
            <w:tcW w:w="1078" w:type="dxa"/>
            <w:vMerge w:val="restart"/>
            <w:vAlign w:val="center"/>
          </w:tcPr>
          <w:p>
            <w:pPr>
              <w:spacing w:before="20" w:line="219" w:lineRule="auto"/>
              <w:jc w:val="center"/>
              <w:rPr>
                <w:rFonts w:hint="eastAsia" w:ascii="黑体" w:hAnsi="黑体" w:eastAsia="黑体" w:cs="黑体"/>
                <w:b/>
                <w:bCs/>
                <w:spacing w:val="-3"/>
                <w:sz w:val="24"/>
                <w:szCs w:val="24"/>
                <w:vertAlign w:val="baseline"/>
                <w:lang w:val="en-US" w:eastAsia="zh-CN"/>
              </w:rPr>
            </w:pPr>
            <w:r>
              <w:rPr>
                <w:rFonts w:hint="eastAsia" w:ascii="黑体" w:hAnsi="黑体" w:eastAsia="黑体" w:cs="黑体"/>
                <w:b/>
                <w:bCs/>
                <w:spacing w:val="-3"/>
                <w:sz w:val="24"/>
                <w:szCs w:val="24"/>
                <w:vertAlign w:val="baseline"/>
                <w:lang w:val="en-US" w:eastAsia="zh-CN"/>
              </w:rPr>
              <w:t>危险废物类别</w:t>
            </w:r>
          </w:p>
        </w:tc>
        <w:tc>
          <w:tcPr>
            <w:tcW w:w="1078" w:type="dxa"/>
            <w:vMerge w:val="restart"/>
            <w:vAlign w:val="center"/>
          </w:tcPr>
          <w:p>
            <w:pPr>
              <w:spacing w:before="20" w:line="219" w:lineRule="auto"/>
              <w:jc w:val="center"/>
              <w:rPr>
                <w:rFonts w:hint="eastAsia" w:ascii="黑体" w:hAnsi="黑体" w:eastAsia="黑体" w:cs="黑体"/>
                <w:b/>
                <w:bCs/>
                <w:spacing w:val="-3"/>
                <w:sz w:val="24"/>
                <w:szCs w:val="24"/>
                <w:vertAlign w:val="baseline"/>
                <w:lang w:val="en-US" w:eastAsia="zh-CN"/>
              </w:rPr>
            </w:pPr>
            <w:r>
              <w:rPr>
                <w:rFonts w:hint="eastAsia" w:ascii="黑体" w:hAnsi="黑体" w:eastAsia="黑体" w:cs="黑体"/>
                <w:b/>
                <w:bCs/>
                <w:spacing w:val="-3"/>
                <w:sz w:val="24"/>
                <w:szCs w:val="24"/>
                <w:vertAlign w:val="baseline"/>
                <w:lang w:val="en-US" w:eastAsia="zh-CN"/>
              </w:rPr>
              <w:t>危险废物代码</w:t>
            </w:r>
          </w:p>
        </w:tc>
        <w:tc>
          <w:tcPr>
            <w:tcW w:w="1078" w:type="dxa"/>
            <w:vMerge w:val="restart"/>
            <w:vAlign w:val="center"/>
          </w:tcPr>
          <w:p>
            <w:pPr>
              <w:spacing w:before="20" w:line="219" w:lineRule="auto"/>
              <w:jc w:val="center"/>
              <w:rPr>
                <w:rFonts w:hint="eastAsia" w:ascii="黑体" w:hAnsi="黑体" w:eastAsia="黑体" w:cs="黑体"/>
                <w:b/>
                <w:bCs/>
                <w:spacing w:val="-3"/>
                <w:sz w:val="24"/>
                <w:szCs w:val="24"/>
                <w:vertAlign w:val="baseline"/>
                <w:lang w:val="en-US" w:eastAsia="zh-CN"/>
              </w:rPr>
            </w:pPr>
            <w:r>
              <w:rPr>
                <w:rFonts w:hint="eastAsia" w:ascii="黑体" w:hAnsi="黑体" w:eastAsia="黑体" w:cs="黑体"/>
                <w:b/>
                <w:bCs/>
                <w:spacing w:val="-3"/>
                <w:sz w:val="24"/>
                <w:szCs w:val="24"/>
                <w:vertAlign w:val="baseline"/>
                <w:lang w:val="en-US" w:eastAsia="zh-CN"/>
              </w:rPr>
              <w:t>有害成分名称</w:t>
            </w:r>
          </w:p>
        </w:tc>
        <w:tc>
          <w:tcPr>
            <w:tcW w:w="1078" w:type="dxa"/>
            <w:vMerge w:val="restart"/>
            <w:vAlign w:val="center"/>
          </w:tcPr>
          <w:p>
            <w:pPr>
              <w:spacing w:before="20" w:line="219" w:lineRule="auto"/>
              <w:jc w:val="center"/>
              <w:rPr>
                <w:rFonts w:hint="eastAsia" w:ascii="黑体" w:hAnsi="黑体" w:eastAsia="黑体" w:cs="黑体"/>
                <w:b/>
                <w:bCs/>
                <w:spacing w:val="-3"/>
                <w:sz w:val="24"/>
                <w:szCs w:val="24"/>
                <w:vertAlign w:val="baseline"/>
                <w:lang w:val="en-US" w:eastAsia="zh-CN"/>
              </w:rPr>
            </w:pPr>
            <w:r>
              <w:rPr>
                <w:rFonts w:hint="eastAsia" w:ascii="黑体" w:hAnsi="黑体" w:eastAsia="黑体" w:cs="黑体"/>
                <w:b/>
                <w:bCs/>
                <w:spacing w:val="-3"/>
                <w:sz w:val="24"/>
                <w:szCs w:val="24"/>
                <w:vertAlign w:val="baseline"/>
                <w:lang w:val="en-US" w:eastAsia="zh-CN"/>
              </w:rPr>
              <w:t>形态</w:t>
            </w:r>
          </w:p>
        </w:tc>
        <w:tc>
          <w:tcPr>
            <w:tcW w:w="1079" w:type="dxa"/>
            <w:vMerge w:val="restart"/>
            <w:vAlign w:val="center"/>
          </w:tcPr>
          <w:p>
            <w:pPr>
              <w:spacing w:before="20" w:line="219" w:lineRule="auto"/>
              <w:jc w:val="center"/>
              <w:rPr>
                <w:rFonts w:hint="eastAsia" w:ascii="黑体" w:hAnsi="黑体" w:eastAsia="黑体" w:cs="黑体"/>
                <w:b/>
                <w:bCs/>
                <w:spacing w:val="-3"/>
                <w:sz w:val="24"/>
                <w:szCs w:val="24"/>
                <w:vertAlign w:val="baseline"/>
                <w:lang w:val="en-US" w:eastAsia="zh-CN"/>
              </w:rPr>
            </w:pPr>
            <w:r>
              <w:rPr>
                <w:rFonts w:hint="eastAsia" w:ascii="黑体" w:hAnsi="黑体" w:eastAsia="黑体" w:cs="黑体"/>
                <w:b/>
                <w:bCs/>
                <w:spacing w:val="-3"/>
                <w:sz w:val="24"/>
                <w:szCs w:val="24"/>
                <w:vertAlign w:val="baseline"/>
                <w:lang w:val="en-US" w:eastAsia="zh-CN"/>
              </w:rPr>
              <w:t>危险特性</w:t>
            </w:r>
          </w:p>
        </w:tc>
        <w:tc>
          <w:tcPr>
            <w:tcW w:w="1079" w:type="dxa"/>
            <w:vMerge w:val="restart"/>
            <w:vAlign w:val="center"/>
          </w:tcPr>
          <w:p>
            <w:pPr>
              <w:spacing w:before="20" w:line="219" w:lineRule="auto"/>
              <w:jc w:val="center"/>
              <w:rPr>
                <w:rFonts w:hint="eastAsia" w:ascii="黑体" w:hAnsi="黑体" w:eastAsia="黑体" w:cs="黑体"/>
                <w:b/>
                <w:bCs/>
                <w:spacing w:val="-3"/>
                <w:sz w:val="24"/>
                <w:szCs w:val="24"/>
                <w:vertAlign w:val="baseline"/>
                <w:lang w:val="en-US" w:eastAsia="zh-CN"/>
              </w:rPr>
            </w:pPr>
            <w:r>
              <w:rPr>
                <w:rFonts w:hint="eastAsia" w:ascii="黑体" w:hAnsi="黑体" w:eastAsia="黑体" w:cs="黑体"/>
                <w:b/>
                <w:bCs/>
                <w:spacing w:val="-3"/>
                <w:sz w:val="24"/>
                <w:szCs w:val="24"/>
                <w:vertAlign w:val="baseline"/>
                <w:lang w:val="en-US" w:eastAsia="zh-CN"/>
              </w:rPr>
              <w:t>包装形式</w:t>
            </w:r>
          </w:p>
        </w:tc>
        <w:tc>
          <w:tcPr>
            <w:tcW w:w="1079" w:type="dxa"/>
            <w:vMerge w:val="restart"/>
            <w:vAlign w:val="center"/>
          </w:tcPr>
          <w:p>
            <w:pPr>
              <w:spacing w:before="20" w:line="219" w:lineRule="auto"/>
              <w:jc w:val="center"/>
              <w:rPr>
                <w:rFonts w:hint="eastAsia" w:ascii="黑体" w:hAnsi="黑体" w:eastAsia="黑体" w:cs="黑体"/>
                <w:b/>
                <w:bCs/>
                <w:spacing w:val="-3"/>
                <w:sz w:val="24"/>
                <w:szCs w:val="24"/>
                <w:vertAlign w:val="baseline"/>
                <w:lang w:val="en-US" w:eastAsia="zh-CN"/>
              </w:rPr>
            </w:pPr>
            <w:r>
              <w:rPr>
                <w:rFonts w:hint="eastAsia" w:ascii="黑体" w:hAnsi="黑体" w:eastAsia="黑体" w:cs="黑体"/>
                <w:b/>
                <w:bCs/>
                <w:spacing w:val="-3"/>
                <w:sz w:val="24"/>
                <w:szCs w:val="24"/>
                <w:vertAlign w:val="baseline"/>
                <w:lang w:val="en-US" w:eastAsia="zh-CN"/>
              </w:rPr>
              <w:t>本年度预计剩余贮存量</w:t>
            </w:r>
          </w:p>
        </w:tc>
        <w:tc>
          <w:tcPr>
            <w:tcW w:w="1082" w:type="dxa"/>
            <w:vMerge w:val="restart"/>
            <w:vAlign w:val="center"/>
          </w:tcPr>
          <w:p>
            <w:pPr>
              <w:spacing w:before="20" w:line="219" w:lineRule="auto"/>
              <w:jc w:val="center"/>
              <w:rPr>
                <w:rFonts w:hint="eastAsia" w:ascii="黑体" w:hAnsi="黑体" w:eastAsia="黑体" w:cs="黑体"/>
                <w:b/>
                <w:bCs/>
                <w:spacing w:val="-3"/>
                <w:sz w:val="24"/>
                <w:szCs w:val="24"/>
                <w:vertAlign w:val="baseline"/>
                <w:lang w:val="en-US" w:eastAsia="zh-CN"/>
              </w:rPr>
            </w:pPr>
            <w:r>
              <w:rPr>
                <w:rFonts w:hint="eastAsia" w:ascii="黑体" w:hAnsi="黑体" w:eastAsia="黑体" w:cs="黑体"/>
                <w:b/>
                <w:bCs/>
                <w:spacing w:val="-3"/>
                <w:sz w:val="24"/>
                <w:szCs w:val="24"/>
                <w:vertAlign w:val="baseline"/>
                <w:lang w:val="en-US" w:eastAsia="zh-CN"/>
              </w:rPr>
              <w:t>计量单位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967" w:type="dxa"/>
            <w:vMerge w:val="continue"/>
          </w:tcPr>
          <w:p>
            <w:pPr>
              <w:spacing w:before="20" w:line="219" w:lineRule="auto"/>
              <w:jc w:val="center"/>
              <w:rPr>
                <w:rFonts w:hint="eastAsia" w:asciiTheme="minorEastAsia" w:hAnsiTheme="minorEastAsia" w:eastAsiaTheme="minorEastAsia" w:cstheme="minorEastAsia"/>
                <w:sz w:val="21"/>
                <w:szCs w:val="21"/>
              </w:rPr>
            </w:pPr>
          </w:p>
        </w:tc>
        <w:tc>
          <w:tcPr>
            <w:tcW w:w="1184" w:type="dxa"/>
            <w:vMerge w:val="continue"/>
          </w:tcPr>
          <w:p>
            <w:pPr>
              <w:spacing w:before="20" w:line="219" w:lineRule="auto"/>
              <w:jc w:val="center"/>
              <w:rPr>
                <w:rFonts w:hint="eastAsia" w:asciiTheme="minorEastAsia" w:hAnsiTheme="minorEastAsia" w:eastAsiaTheme="minorEastAsia" w:cstheme="minorEastAsia"/>
                <w:sz w:val="21"/>
                <w:szCs w:val="21"/>
              </w:rPr>
            </w:pPr>
          </w:p>
        </w:tc>
        <w:tc>
          <w:tcPr>
            <w:tcW w:w="1078" w:type="dxa"/>
            <w:vMerge w:val="continue"/>
          </w:tcPr>
          <w:p>
            <w:pPr>
              <w:spacing w:before="20" w:line="219" w:lineRule="auto"/>
              <w:jc w:val="center"/>
              <w:rPr>
                <w:rFonts w:hint="eastAsia" w:asciiTheme="minorEastAsia" w:hAnsiTheme="minorEastAsia" w:eastAsiaTheme="minorEastAsia" w:cstheme="minorEastAsia"/>
                <w:sz w:val="21"/>
                <w:szCs w:val="21"/>
              </w:rPr>
            </w:pPr>
          </w:p>
        </w:tc>
        <w:tc>
          <w:tcPr>
            <w:tcW w:w="1236" w:type="dxa"/>
            <w:vAlign w:val="center"/>
          </w:tcPr>
          <w:p>
            <w:pPr>
              <w:spacing w:before="20" w:line="219" w:lineRule="auto"/>
              <w:jc w:val="center"/>
              <w:rPr>
                <w:rFonts w:hint="eastAsia" w:ascii="黑体" w:hAnsi="黑体" w:eastAsia="黑体" w:cs="黑体"/>
                <w:b/>
                <w:bCs/>
                <w:spacing w:val="-3"/>
                <w:sz w:val="24"/>
                <w:szCs w:val="24"/>
                <w:vertAlign w:val="baseline"/>
                <w:lang w:val="en-US" w:eastAsia="zh-CN"/>
              </w:rPr>
            </w:pPr>
            <w:r>
              <w:rPr>
                <w:rFonts w:hint="eastAsia" w:ascii="黑体" w:hAnsi="黑体" w:eastAsia="黑体" w:cs="黑体"/>
                <w:b/>
                <w:bCs/>
                <w:spacing w:val="-3"/>
                <w:sz w:val="24"/>
                <w:szCs w:val="24"/>
                <w:vertAlign w:val="baseline"/>
                <w:lang w:val="en-US" w:eastAsia="zh-CN"/>
              </w:rPr>
              <w:t>行业俗称/单位内部名称</w:t>
            </w:r>
          </w:p>
          <w:p>
            <w:pPr>
              <w:spacing w:before="20" w:line="219" w:lineRule="auto"/>
              <w:jc w:val="center"/>
              <w:rPr>
                <w:rFonts w:hint="default" w:asciiTheme="minorEastAsia" w:hAnsi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
            </w:r>
          </w:p>
        </w:tc>
        <w:tc>
          <w:tcPr>
            <w:tcW w:w="1078"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黑体" w:hAnsi="黑体" w:eastAsia="黑体" w:cs="黑体"/>
                <w:b/>
                <w:bCs/>
                <w:spacing w:val="-3"/>
                <w:sz w:val="24"/>
                <w:szCs w:val="24"/>
                <w:vertAlign w:val="baseline"/>
                <w:lang w:val="en-US" w:eastAsia="zh-CN"/>
              </w:rPr>
              <w:t>国家危险废物名录名称</w:t>
            </w:r>
          </w:p>
        </w:tc>
        <w:tc>
          <w:tcPr>
            <w:tcW w:w="1078" w:type="dxa"/>
            <w:vMerge w:val="continue"/>
          </w:tcPr>
          <w:p>
            <w:pPr>
              <w:spacing w:before="20" w:line="219" w:lineRule="auto"/>
              <w:jc w:val="center"/>
              <w:rPr>
                <w:rFonts w:hint="eastAsia" w:asciiTheme="minorEastAsia" w:hAnsiTheme="minorEastAsia" w:eastAsiaTheme="minorEastAsia" w:cstheme="minorEastAsia"/>
                <w:spacing w:val="-3"/>
                <w:sz w:val="21"/>
                <w:szCs w:val="21"/>
                <w:vertAlign w:val="baseline"/>
              </w:rPr>
            </w:pPr>
          </w:p>
        </w:tc>
        <w:tc>
          <w:tcPr>
            <w:tcW w:w="1078" w:type="dxa"/>
            <w:vMerge w:val="continue"/>
          </w:tcPr>
          <w:p>
            <w:pPr>
              <w:spacing w:before="20" w:line="219" w:lineRule="auto"/>
              <w:jc w:val="center"/>
              <w:rPr>
                <w:rFonts w:hint="eastAsia" w:asciiTheme="minorEastAsia" w:hAnsiTheme="minorEastAsia" w:eastAsiaTheme="minorEastAsia" w:cstheme="minorEastAsia"/>
                <w:spacing w:val="-3"/>
                <w:sz w:val="21"/>
                <w:szCs w:val="21"/>
                <w:vertAlign w:val="baseline"/>
              </w:rPr>
            </w:pPr>
          </w:p>
        </w:tc>
        <w:tc>
          <w:tcPr>
            <w:tcW w:w="1078" w:type="dxa"/>
            <w:vMerge w:val="continue"/>
          </w:tcPr>
          <w:p>
            <w:pPr>
              <w:spacing w:before="20" w:line="219" w:lineRule="auto"/>
              <w:jc w:val="center"/>
              <w:rPr>
                <w:rFonts w:hint="eastAsia" w:asciiTheme="minorEastAsia" w:hAnsiTheme="minorEastAsia" w:eastAsiaTheme="minorEastAsia" w:cstheme="minorEastAsia"/>
                <w:spacing w:val="-3"/>
                <w:sz w:val="21"/>
                <w:szCs w:val="21"/>
                <w:vertAlign w:val="baseline"/>
              </w:rPr>
            </w:pPr>
          </w:p>
        </w:tc>
        <w:tc>
          <w:tcPr>
            <w:tcW w:w="1078" w:type="dxa"/>
            <w:vMerge w:val="continue"/>
          </w:tcPr>
          <w:p>
            <w:pPr>
              <w:spacing w:before="20" w:line="219" w:lineRule="auto"/>
              <w:jc w:val="center"/>
              <w:rPr>
                <w:rFonts w:hint="eastAsia" w:asciiTheme="minorEastAsia" w:hAnsiTheme="minorEastAsia" w:eastAsiaTheme="minorEastAsia" w:cstheme="minorEastAsia"/>
                <w:spacing w:val="-3"/>
                <w:sz w:val="21"/>
                <w:szCs w:val="21"/>
                <w:vertAlign w:val="baseline"/>
              </w:rPr>
            </w:pPr>
          </w:p>
        </w:tc>
        <w:tc>
          <w:tcPr>
            <w:tcW w:w="1079" w:type="dxa"/>
            <w:vMerge w:val="continue"/>
          </w:tcPr>
          <w:p>
            <w:pPr>
              <w:spacing w:before="20" w:line="219" w:lineRule="auto"/>
              <w:jc w:val="center"/>
              <w:rPr>
                <w:rFonts w:hint="eastAsia" w:asciiTheme="minorEastAsia" w:hAnsiTheme="minorEastAsia" w:eastAsiaTheme="minorEastAsia" w:cstheme="minorEastAsia"/>
                <w:spacing w:val="-3"/>
                <w:sz w:val="21"/>
                <w:szCs w:val="21"/>
                <w:vertAlign w:val="baseline"/>
              </w:rPr>
            </w:pPr>
          </w:p>
        </w:tc>
        <w:tc>
          <w:tcPr>
            <w:tcW w:w="1079" w:type="dxa"/>
            <w:vMerge w:val="continue"/>
          </w:tcPr>
          <w:p>
            <w:pPr>
              <w:spacing w:before="20" w:line="219" w:lineRule="auto"/>
              <w:jc w:val="center"/>
              <w:rPr>
                <w:rFonts w:hint="eastAsia" w:asciiTheme="minorEastAsia" w:hAnsiTheme="minorEastAsia" w:eastAsiaTheme="minorEastAsia" w:cstheme="minorEastAsia"/>
                <w:spacing w:val="-3"/>
                <w:sz w:val="21"/>
                <w:szCs w:val="21"/>
                <w:vertAlign w:val="baseline"/>
              </w:rPr>
            </w:pPr>
          </w:p>
        </w:tc>
        <w:tc>
          <w:tcPr>
            <w:tcW w:w="1079" w:type="dxa"/>
            <w:vMerge w:val="continue"/>
          </w:tcPr>
          <w:p>
            <w:pPr>
              <w:spacing w:before="20" w:line="219" w:lineRule="auto"/>
              <w:jc w:val="center"/>
              <w:rPr>
                <w:rFonts w:hint="eastAsia" w:asciiTheme="minorEastAsia" w:hAnsiTheme="minorEastAsia" w:eastAsiaTheme="minorEastAsia" w:cstheme="minorEastAsia"/>
                <w:spacing w:val="-3"/>
                <w:sz w:val="21"/>
                <w:szCs w:val="21"/>
                <w:vertAlign w:val="baseline"/>
              </w:rPr>
            </w:pPr>
          </w:p>
        </w:tc>
        <w:tc>
          <w:tcPr>
            <w:tcW w:w="1082" w:type="dxa"/>
            <w:vMerge w:val="continue"/>
          </w:tcPr>
          <w:p>
            <w:pPr>
              <w:spacing w:before="20" w:line="219" w:lineRule="auto"/>
              <w:jc w:val="center"/>
              <w:rPr>
                <w:rFonts w:hint="eastAsia" w:asciiTheme="minorEastAsia" w:hAnsiTheme="minorEastAsia" w:eastAsiaTheme="minorEastAsia" w:cstheme="minorEastAsia"/>
                <w:spacing w:val="-3"/>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967"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1</w:t>
            </w:r>
          </w:p>
        </w:tc>
        <w:tc>
          <w:tcPr>
            <w:tcW w:w="1184"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TS003</w:t>
            </w:r>
          </w:p>
        </w:tc>
        <w:tc>
          <w:tcPr>
            <w:tcW w:w="1078"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贮存罐区</w:t>
            </w:r>
          </w:p>
        </w:tc>
        <w:tc>
          <w:tcPr>
            <w:tcW w:w="1236"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混合二氯苯</w:t>
            </w:r>
          </w:p>
        </w:tc>
        <w:tc>
          <w:tcPr>
            <w:tcW w:w="1078"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氯苯、二氯苯生产过程中的蒸馏及分馏残渣</w:t>
            </w:r>
          </w:p>
        </w:tc>
        <w:tc>
          <w:tcPr>
            <w:tcW w:w="1078"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HW11</w:t>
            </w:r>
          </w:p>
        </w:tc>
        <w:tc>
          <w:tcPr>
            <w:tcW w:w="1078"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261-026-11</w:t>
            </w:r>
          </w:p>
        </w:tc>
        <w:tc>
          <w:tcPr>
            <w:tcW w:w="1078"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对二氯苯、间二氯苯、邻二氯苯</w:t>
            </w:r>
          </w:p>
        </w:tc>
        <w:tc>
          <w:tcPr>
            <w:tcW w:w="1078"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液态</w:t>
            </w:r>
          </w:p>
        </w:tc>
        <w:tc>
          <w:tcPr>
            <w:tcW w:w="1079"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毒性</w:t>
            </w:r>
          </w:p>
        </w:tc>
        <w:tc>
          <w:tcPr>
            <w:tcW w:w="1079"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罐装、桶装</w:t>
            </w:r>
          </w:p>
        </w:tc>
        <w:tc>
          <w:tcPr>
            <w:tcW w:w="1079"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0</w:t>
            </w:r>
          </w:p>
        </w:tc>
        <w:tc>
          <w:tcPr>
            <w:tcW w:w="1082"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967"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2</w:t>
            </w:r>
          </w:p>
        </w:tc>
        <w:tc>
          <w:tcPr>
            <w:tcW w:w="1184"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TS002</w:t>
            </w:r>
          </w:p>
        </w:tc>
        <w:tc>
          <w:tcPr>
            <w:tcW w:w="1078"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贮存库</w:t>
            </w:r>
          </w:p>
        </w:tc>
        <w:tc>
          <w:tcPr>
            <w:tcW w:w="1236"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压滤固废</w:t>
            </w:r>
          </w:p>
        </w:tc>
        <w:tc>
          <w:tcPr>
            <w:tcW w:w="1078"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有机溶剂生产过程中产生的废催化剂</w:t>
            </w:r>
          </w:p>
        </w:tc>
        <w:tc>
          <w:tcPr>
            <w:tcW w:w="1078"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HW50</w:t>
            </w:r>
          </w:p>
        </w:tc>
        <w:tc>
          <w:tcPr>
            <w:tcW w:w="1078"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261-152-50</w:t>
            </w:r>
          </w:p>
        </w:tc>
        <w:tc>
          <w:tcPr>
            <w:tcW w:w="1078"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氢氧化铜、二苯醚、苯酚、氯化苯等</w:t>
            </w:r>
          </w:p>
        </w:tc>
        <w:tc>
          <w:tcPr>
            <w:tcW w:w="1078"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固态</w:t>
            </w:r>
          </w:p>
        </w:tc>
        <w:tc>
          <w:tcPr>
            <w:tcW w:w="1079"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毒性</w:t>
            </w:r>
          </w:p>
        </w:tc>
        <w:tc>
          <w:tcPr>
            <w:tcW w:w="1079"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桶</w:t>
            </w:r>
          </w:p>
        </w:tc>
        <w:tc>
          <w:tcPr>
            <w:tcW w:w="1079"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2</w:t>
            </w:r>
          </w:p>
        </w:tc>
        <w:tc>
          <w:tcPr>
            <w:tcW w:w="1082"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967"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3</w:t>
            </w:r>
          </w:p>
        </w:tc>
        <w:tc>
          <w:tcPr>
            <w:tcW w:w="1184"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TS002</w:t>
            </w:r>
          </w:p>
        </w:tc>
        <w:tc>
          <w:tcPr>
            <w:tcW w:w="1078"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贮存库</w:t>
            </w:r>
          </w:p>
        </w:tc>
        <w:tc>
          <w:tcPr>
            <w:tcW w:w="1236"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废镍催化剂</w:t>
            </w:r>
          </w:p>
        </w:tc>
        <w:tc>
          <w:tcPr>
            <w:tcW w:w="1078"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废弃的镍催化剂</w:t>
            </w:r>
          </w:p>
        </w:tc>
        <w:tc>
          <w:tcPr>
            <w:tcW w:w="1078"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HW46</w:t>
            </w:r>
          </w:p>
        </w:tc>
        <w:tc>
          <w:tcPr>
            <w:tcW w:w="1078"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900-037-46</w:t>
            </w:r>
          </w:p>
        </w:tc>
        <w:tc>
          <w:tcPr>
            <w:tcW w:w="1078"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镍、高沸物、杂质</w:t>
            </w:r>
          </w:p>
        </w:tc>
        <w:tc>
          <w:tcPr>
            <w:tcW w:w="1078"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固态</w:t>
            </w:r>
          </w:p>
        </w:tc>
        <w:tc>
          <w:tcPr>
            <w:tcW w:w="1079"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毒性, 易燃性</w:t>
            </w:r>
          </w:p>
        </w:tc>
        <w:tc>
          <w:tcPr>
            <w:tcW w:w="1079"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桶</w:t>
            </w:r>
          </w:p>
        </w:tc>
        <w:tc>
          <w:tcPr>
            <w:tcW w:w="1079"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2</w:t>
            </w:r>
          </w:p>
        </w:tc>
        <w:tc>
          <w:tcPr>
            <w:tcW w:w="1082"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967"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4</w:t>
            </w:r>
          </w:p>
        </w:tc>
        <w:tc>
          <w:tcPr>
            <w:tcW w:w="1184"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TS002</w:t>
            </w:r>
          </w:p>
        </w:tc>
        <w:tc>
          <w:tcPr>
            <w:tcW w:w="1078"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贮存库</w:t>
            </w:r>
          </w:p>
        </w:tc>
        <w:tc>
          <w:tcPr>
            <w:tcW w:w="1236"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污泥</w:t>
            </w:r>
          </w:p>
        </w:tc>
        <w:tc>
          <w:tcPr>
            <w:tcW w:w="1078"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其他有机卤化物的生产过程（不包括卤化前的生产工段）中产生的残液、废过滤吸附介质、反应残余物、废水处理污泥（不包括环氧氯丙烷皂化液处理产生的石灰渣）、废催化剂（不包括本名录 HW04、HW06、HW11、HW12、HW13、HW39 类别的危险废物）</w:t>
            </w:r>
          </w:p>
        </w:tc>
        <w:tc>
          <w:tcPr>
            <w:tcW w:w="1078"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HW45</w:t>
            </w:r>
          </w:p>
        </w:tc>
        <w:tc>
          <w:tcPr>
            <w:tcW w:w="1078"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261-084-45</w:t>
            </w:r>
          </w:p>
        </w:tc>
        <w:tc>
          <w:tcPr>
            <w:tcW w:w="1078"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有机物、无机物、杂质</w:t>
            </w:r>
          </w:p>
        </w:tc>
        <w:tc>
          <w:tcPr>
            <w:tcW w:w="1078"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半固态</w:t>
            </w:r>
          </w:p>
        </w:tc>
        <w:tc>
          <w:tcPr>
            <w:tcW w:w="1079"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毒性</w:t>
            </w:r>
          </w:p>
        </w:tc>
        <w:tc>
          <w:tcPr>
            <w:tcW w:w="1079"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桶</w:t>
            </w:r>
          </w:p>
        </w:tc>
        <w:tc>
          <w:tcPr>
            <w:tcW w:w="1079"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0</w:t>
            </w:r>
          </w:p>
        </w:tc>
        <w:tc>
          <w:tcPr>
            <w:tcW w:w="1082"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967"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5</w:t>
            </w:r>
          </w:p>
        </w:tc>
        <w:tc>
          <w:tcPr>
            <w:tcW w:w="1184"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TS002</w:t>
            </w:r>
          </w:p>
        </w:tc>
        <w:tc>
          <w:tcPr>
            <w:tcW w:w="1078"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贮存库</w:t>
            </w:r>
          </w:p>
        </w:tc>
        <w:tc>
          <w:tcPr>
            <w:tcW w:w="1236"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废岩棉</w:t>
            </w:r>
          </w:p>
        </w:tc>
        <w:tc>
          <w:tcPr>
            <w:tcW w:w="1078"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其他生产过程中产生的石棉废物</w:t>
            </w:r>
          </w:p>
        </w:tc>
        <w:tc>
          <w:tcPr>
            <w:tcW w:w="1078"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HW36</w:t>
            </w:r>
          </w:p>
        </w:tc>
        <w:tc>
          <w:tcPr>
            <w:tcW w:w="1078"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900-030-36</w:t>
            </w:r>
          </w:p>
        </w:tc>
        <w:tc>
          <w:tcPr>
            <w:tcW w:w="1078"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沾染有机物</w:t>
            </w:r>
          </w:p>
        </w:tc>
        <w:tc>
          <w:tcPr>
            <w:tcW w:w="1078"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固态</w:t>
            </w:r>
          </w:p>
        </w:tc>
        <w:tc>
          <w:tcPr>
            <w:tcW w:w="1079"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毒性</w:t>
            </w:r>
          </w:p>
        </w:tc>
        <w:tc>
          <w:tcPr>
            <w:tcW w:w="1079"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袋</w:t>
            </w:r>
          </w:p>
        </w:tc>
        <w:tc>
          <w:tcPr>
            <w:tcW w:w="1079"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3</w:t>
            </w:r>
          </w:p>
        </w:tc>
        <w:tc>
          <w:tcPr>
            <w:tcW w:w="1082"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967"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6</w:t>
            </w:r>
          </w:p>
        </w:tc>
        <w:tc>
          <w:tcPr>
            <w:tcW w:w="1184"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TS002</w:t>
            </w:r>
          </w:p>
        </w:tc>
        <w:tc>
          <w:tcPr>
            <w:tcW w:w="1078"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贮存库</w:t>
            </w:r>
          </w:p>
        </w:tc>
        <w:tc>
          <w:tcPr>
            <w:tcW w:w="1236"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废树脂</w:t>
            </w:r>
          </w:p>
        </w:tc>
        <w:tc>
          <w:tcPr>
            <w:tcW w:w="1078"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湿法冶金、表面处理和制药行业重金属、抗生素提取、分离过程产生的废弃离子交换树脂，以及工业废水处理过程产生的废弃离子交换树脂</w:t>
            </w:r>
          </w:p>
        </w:tc>
        <w:tc>
          <w:tcPr>
            <w:tcW w:w="1078"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HW13</w:t>
            </w:r>
          </w:p>
        </w:tc>
        <w:tc>
          <w:tcPr>
            <w:tcW w:w="1078"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900-015-13</w:t>
            </w:r>
          </w:p>
        </w:tc>
        <w:tc>
          <w:tcPr>
            <w:tcW w:w="1078"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苯乙烯、杂质</w:t>
            </w:r>
          </w:p>
        </w:tc>
        <w:tc>
          <w:tcPr>
            <w:tcW w:w="1078"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固态</w:t>
            </w:r>
          </w:p>
        </w:tc>
        <w:tc>
          <w:tcPr>
            <w:tcW w:w="1079"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毒性</w:t>
            </w:r>
          </w:p>
        </w:tc>
        <w:tc>
          <w:tcPr>
            <w:tcW w:w="1079"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袋</w:t>
            </w:r>
          </w:p>
        </w:tc>
        <w:tc>
          <w:tcPr>
            <w:tcW w:w="1079"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0</w:t>
            </w:r>
          </w:p>
        </w:tc>
        <w:tc>
          <w:tcPr>
            <w:tcW w:w="1082"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967"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7</w:t>
            </w:r>
          </w:p>
        </w:tc>
        <w:tc>
          <w:tcPr>
            <w:tcW w:w="1184"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TS002</w:t>
            </w:r>
          </w:p>
        </w:tc>
        <w:tc>
          <w:tcPr>
            <w:tcW w:w="1078"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贮存库</w:t>
            </w:r>
          </w:p>
        </w:tc>
        <w:tc>
          <w:tcPr>
            <w:tcW w:w="1236"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废矿物油</w:t>
            </w:r>
          </w:p>
        </w:tc>
        <w:tc>
          <w:tcPr>
            <w:tcW w:w="1078"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使用工业齿轮油进行机械设备润滑过程中产生的废润滑油</w:t>
            </w:r>
          </w:p>
        </w:tc>
        <w:tc>
          <w:tcPr>
            <w:tcW w:w="1078"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HW08</w:t>
            </w:r>
          </w:p>
        </w:tc>
        <w:tc>
          <w:tcPr>
            <w:tcW w:w="1078"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900-217-08</w:t>
            </w:r>
          </w:p>
        </w:tc>
        <w:tc>
          <w:tcPr>
            <w:tcW w:w="1078"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废机油</w:t>
            </w:r>
          </w:p>
        </w:tc>
        <w:tc>
          <w:tcPr>
            <w:tcW w:w="1078"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液态</w:t>
            </w:r>
          </w:p>
        </w:tc>
        <w:tc>
          <w:tcPr>
            <w:tcW w:w="1079"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易燃性</w:t>
            </w:r>
          </w:p>
        </w:tc>
        <w:tc>
          <w:tcPr>
            <w:tcW w:w="1079"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桶</w:t>
            </w:r>
          </w:p>
        </w:tc>
        <w:tc>
          <w:tcPr>
            <w:tcW w:w="1079"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5</w:t>
            </w:r>
          </w:p>
        </w:tc>
        <w:tc>
          <w:tcPr>
            <w:tcW w:w="1082"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967"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8</w:t>
            </w:r>
          </w:p>
        </w:tc>
        <w:tc>
          <w:tcPr>
            <w:tcW w:w="1184"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TS002</w:t>
            </w:r>
          </w:p>
        </w:tc>
        <w:tc>
          <w:tcPr>
            <w:tcW w:w="1078"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贮存库</w:t>
            </w:r>
          </w:p>
        </w:tc>
        <w:tc>
          <w:tcPr>
            <w:tcW w:w="1236"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结晶釜残</w:t>
            </w:r>
          </w:p>
        </w:tc>
        <w:tc>
          <w:tcPr>
            <w:tcW w:w="1078"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工业生产中作为清洗剂、萃取剂、溶剂或反应介质使用后废弃的有机溶剂，包括苯、苯乙烯、丁醇、丙酮、正己烷、甲苯、邻二甲苯、间二甲苯、对二甲苯、1,2,4-三甲苯、乙苯、乙醇、异丙醇、乙醚、丙醚、乙酸甲酯、乙酸乙酯、乙酸丁酯、丙酸丁酯、苯酚，以及在使用前混合的含有一种或多种上述溶剂的混合/调和溶剂</w:t>
            </w:r>
          </w:p>
        </w:tc>
        <w:tc>
          <w:tcPr>
            <w:tcW w:w="1078"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HW06</w:t>
            </w:r>
          </w:p>
        </w:tc>
        <w:tc>
          <w:tcPr>
            <w:tcW w:w="1078"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900-402-06</w:t>
            </w:r>
          </w:p>
        </w:tc>
        <w:tc>
          <w:tcPr>
            <w:tcW w:w="1078"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乙醇、8-羟基喹啉和焦油</w:t>
            </w:r>
          </w:p>
        </w:tc>
        <w:tc>
          <w:tcPr>
            <w:tcW w:w="1078"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半固态</w:t>
            </w:r>
          </w:p>
        </w:tc>
        <w:tc>
          <w:tcPr>
            <w:tcW w:w="1079"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毒性, 易燃性, 反应性</w:t>
            </w:r>
          </w:p>
        </w:tc>
        <w:tc>
          <w:tcPr>
            <w:tcW w:w="1079"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桶</w:t>
            </w:r>
          </w:p>
        </w:tc>
        <w:tc>
          <w:tcPr>
            <w:tcW w:w="1079"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0</w:t>
            </w:r>
          </w:p>
        </w:tc>
        <w:tc>
          <w:tcPr>
            <w:tcW w:w="1082"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967"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9</w:t>
            </w:r>
          </w:p>
        </w:tc>
        <w:tc>
          <w:tcPr>
            <w:tcW w:w="1184"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TS002</w:t>
            </w:r>
          </w:p>
        </w:tc>
        <w:tc>
          <w:tcPr>
            <w:tcW w:w="1078"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贮存库</w:t>
            </w:r>
          </w:p>
        </w:tc>
        <w:tc>
          <w:tcPr>
            <w:tcW w:w="1236"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蒸馏釜残（硝基酚装置）</w:t>
            </w:r>
          </w:p>
        </w:tc>
        <w:tc>
          <w:tcPr>
            <w:tcW w:w="1078"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其他化工生产过程（不包括以生物质为主要原料的加工过程）中精馏、蒸馏和热解工艺产生的高沸点釜底残余物</w:t>
            </w:r>
          </w:p>
        </w:tc>
        <w:tc>
          <w:tcPr>
            <w:tcW w:w="1078"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HW11</w:t>
            </w:r>
          </w:p>
        </w:tc>
        <w:tc>
          <w:tcPr>
            <w:tcW w:w="1078"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900-013-11</w:t>
            </w:r>
          </w:p>
        </w:tc>
        <w:tc>
          <w:tcPr>
            <w:tcW w:w="1078"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含焦油、杂质和8-羟基喹啉</w:t>
            </w:r>
          </w:p>
        </w:tc>
        <w:tc>
          <w:tcPr>
            <w:tcW w:w="1078"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半固态</w:t>
            </w:r>
          </w:p>
        </w:tc>
        <w:tc>
          <w:tcPr>
            <w:tcW w:w="1079"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毒性</w:t>
            </w:r>
          </w:p>
        </w:tc>
        <w:tc>
          <w:tcPr>
            <w:tcW w:w="1079"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桶</w:t>
            </w:r>
          </w:p>
        </w:tc>
        <w:tc>
          <w:tcPr>
            <w:tcW w:w="1079"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0</w:t>
            </w:r>
          </w:p>
        </w:tc>
        <w:tc>
          <w:tcPr>
            <w:tcW w:w="1082"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967"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10</w:t>
            </w:r>
          </w:p>
        </w:tc>
        <w:tc>
          <w:tcPr>
            <w:tcW w:w="1184"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TS002</w:t>
            </w:r>
          </w:p>
        </w:tc>
        <w:tc>
          <w:tcPr>
            <w:tcW w:w="1078"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贮存库</w:t>
            </w:r>
          </w:p>
        </w:tc>
        <w:tc>
          <w:tcPr>
            <w:tcW w:w="1236"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废焦油</w:t>
            </w:r>
          </w:p>
        </w:tc>
        <w:tc>
          <w:tcPr>
            <w:tcW w:w="1078"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其他化工生产过程（不包括以生物质为主要原料的加工过程）中精馏、蒸馏和热解工艺产生的高沸点釜底残余物</w:t>
            </w:r>
          </w:p>
        </w:tc>
        <w:tc>
          <w:tcPr>
            <w:tcW w:w="1078"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HW11</w:t>
            </w:r>
          </w:p>
        </w:tc>
        <w:tc>
          <w:tcPr>
            <w:tcW w:w="1078"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900-013-11</w:t>
            </w:r>
          </w:p>
        </w:tc>
        <w:tc>
          <w:tcPr>
            <w:tcW w:w="1078"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聚合焦油和杂质</w:t>
            </w:r>
          </w:p>
        </w:tc>
        <w:tc>
          <w:tcPr>
            <w:tcW w:w="1078"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液态</w:t>
            </w:r>
          </w:p>
        </w:tc>
        <w:tc>
          <w:tcPr>
            <w:tcW w:w="1079"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毒性</w:t>
            </w:r>
          </w:p>
        </w:tc>
        <w:tc>
          <w:tcPr>
            <w:tcW w:w="1079"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桶</w:t>
            </w:r>
          </w:p>
        </w:tc>
        <w:tc>
          <w:tcPr>
            <w:tcW w:w="1079"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5</w:t>
            </w:r>
          </w:p>
        </w:tc>
        <w:tc>
          <w:tcPr>
            <w:tcW w:w="1082"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967"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11</w:t>
            </w:r>
          </w:p>
        </w:tc>
        <w:tc>
          <w:tcPr>
            <w:tcW w:w="1184"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TS002</w:t>
            </w:r>
          </w:p>
        </w:tc>
        <w:tc>
          <w:tcPr>
            <w:tcW w:w="1078"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贮存库</w:t>
            </w:r>
          </w:p>
        </w:tc>
        <w:tc>
          <w:tcPr>
            <w:tcW w:w="1236"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蒸馏釜残</w:t>
            </w:r>
          </w:p>
        </w:tc>
        <w:tc>
          <w:tcPr>
            <w:tcW w:w="1078"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其他化工生产过程（不包括以生物质为主要原料的加工过程）中精馏、蒸馏和热解工艺产生的高沸点釜底残余物</w:t>
            </w:r>
          </w:p>
        </w:tc>
        <w:tc>
          <w:tcPr>
            <w:tcW w:w="1078"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HW11</w:t>
            </w:r>
          </w:p>
        </w:tc>
        <w:tc>
          <w:tcPr>
            <w:tcW w:w="1078"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900-013-11</w:t>
            </w:r>
          </w:p>
        </w:tc>
        <w:tc>
          <w:tcPr>
            <w:tcW w:w="1078"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邻硝基苯酚、邻硝基氯苯、杂质</w:t>
            </w:r>
          </w:p>
        </w:tc>
        <w:tc>
          <w:tcPr>
            <w:tcW w:w="1078"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半固态</w:t>
            </w:r>
          </w:p>
        </w:tc>
        <w:tc>
          <w:tcPr>
            <w:tcW w:w="1079"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毒性</w:t>
            </w:r>
          </w:p>
        </w:tc>
        <w:tc>
          <w:tcPr>
            <w:tcW w:w="1079"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桶</w:t>
            </w:r>
          </w:p>
        </w:tc>
        <w:tc>
          <w:tcPr>
            <w:tcW w:w="1079"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20</w:t>
            </w:r>
          </w:p>
        </w:tc>
        <w:tc>
          <w:tcPr>
            <w:tcW w:w="1082"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967"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12</w:t>
            </w:r>
          </w:p>
        </w:tc>
        <w:tc>
          <w:tcPr>
            <w:tcW w:w="1184"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TS002</w:t>
            </w:r>
          </w:p>
        </w:tc>
        <w:tc>
          <w:tcPr>
            <w:tcW w:w="1078"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贮存库</w:t>
            </w:r>
          </w:p>
        </w:tc>
        <w:tc>
          <w:tcPr>
            <w:tcW w:w="1236"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粗制下脚/精制下脚</w:t>
            </w:r>
          </w:p>
        </w:tc>
        <w:tc>
          <w:tcPr>
            <w:tcW w:w="1078"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其他化工生产过程（不包括以生物质为主要原料的加工过程）中精馏、蒸馏和热解工艺产生的高沸点釜底残余物</w:t>
            </w:r>
          </w:p>
        </w:tc>
        <w:tc>
          <w:tcPr>
            <w:tcW w:w="1078"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HW11</w:t>
            </w:r>
          </w:p>
        </w:tc>
        <w:tc>
          <w:tcPr>
            <w:tcW w:w="1078"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900-013-11</w:t>
            </w:r>
          </w:p>
        </w:tc>
        <w:tc>
          <w:tcPr>
            <w:tcW w:w="1078"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二苯醚、苯酚、杂质</w:t>
            </w:r>
          </w:p>
        </w:tc>
        <w:tc>
          <w:tcPr>
            <w:tcW w:w="1078"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固态</w:t>
            </w:r>
          </w:p>
        </w:tc>
        <w:tc>
          <w:tcPr>
            <w:tcW w:w="1079"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毒性</w:t>
            </w:r>
          </w:p>
        </w:tc>
        <w:tc>
          <w:tcPr>
            <w:tcW w:w="1079"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桶</w:t>
            </w:r>
          </w:p>
        </w:tc>
        <w:tc>
          <w:tcPr>
            <w:tcW w:w="1079"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5</w:t>
            </w:r>
          </w:p>
        </w:tc>
        <w:tc>
          <w:tcPr>
            <w:tcW w:w="1082"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967"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13</w:t>
            </w:r>
          </w:p>
        </w:tc>
        <w:tc>
          <w:tcPr>
            <w:tcW w:w="1184"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TS002</w:t>
            </w:r>
          </w:p>
        </w:tc>
        <w:tc>
          <w:tcPr>
            <w:tcW w:w="1078"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贮存库</w:t>
            </w:r>
          </w:p>
        </w:tc>
        <w:tc>
          <w:tcPr>
            <w:tcW w:w="1236"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高沸物</w:t>
            </w:r>
          </w:p>
        </w:tc>
        <w:tc>
          <w:tcPr>
            <w:tcW w:w="1078"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氯苯、二氯苯生产过程中的蒸馏及分馏残渣</w:t>
            </w:r>
          </w:p>
        </w:tc>
        <w:tc>
          <w:tcPr>
            <w:tcW w:w="1078"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HW11</w:t>
            </w:r>
          </w:p>
        </w:tc>
        <w:tc>
          <w:tcPr>
            <w:tcW w:w="1078"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261-026-11</w:t>
            </w:r>
          </w:p>
        </w:tc>
        <w:tc>
          <w:tcPr>
            <w:tcW w:w="1078"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对二氯苯、邻二氯苯和杂质</w:t>
            </w:r>
          </w:p>
        </w:tc>
        <w:tc>
          <w:tcPr>
            <w:tcW w:w="1078"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半固态</w:t>
            </w:r>
          </w:p>
        </w:tc>
        <w:tc>
          <w:tcPr>
            <w:tcW w:w="1079"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毒性</w:t>
            </w:r>
          </w:p>
        </w:tc>
        <w:tc>
          <w:tcPr>
            <w:tcW w:w="1079"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桶</w:t>
            </w:r>
          </w:p>
        </w:tc>
        <w:tc>
          <w:tcPr>
            <w:tcW w:w="1079"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0</w:t>
            </w:r>
          </w:p>
        </w:tc>
        <w:tc>
          <w:tcPr>
            <w:tcW w:w="1082"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967"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14</w:t>
            </w:r>
          </w:p>
        </w:tc>
        <w:tc>
          <w:tcPr>
            <w:tcW w:w="1184"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TS002</w:t>
            </w:r>
          </w:p>
        </w:tc>
        <w:tc>
          <w:tcPr>
            <w:tcW w:w="1078"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贮存库</w:t>
            </w:r>
          </w:p>
        </w:tc>
        <w:tc>
          <w:tcPr>
            <w:tcW w:w="1236"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产品精制焦油（精蒸馏残渣）</w:t>
            </w:r>
          </w:p>
        </w:tc>
        <w:tc>
          <w:tcPr>
            <w:tcW w:w="1078"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其他化工生产过程（不包括以生物质为主要原料的加工过程）中精馏、蒸馏和热解工艺产生的高沸点釜底残余物</w:t>
            </w:r>
          </w:p>
        </w:tc>
        <w:tc>
          <w:tcPr>
            <w:tcW w:w="1078"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HW11</w:t>
            </w:r>
          </w:p>
        </w:tc>
        <w:tc>
          <w:tcPr>
            <w:tcW w:w="1078"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900-013-11</w:t>
            </w:r>
          </w:p>
        </w:tc>
        <w:tc>
          <w:tcPr>
            <w:tcW w:w="1078"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邻、对、间硝基氯苯、杂质</w:t>
            </w:r>
          </w:p>
        </w:tc>
        <w:tc>
          <w:tcPr>
            <w:tcW w:w="1078"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液态</w:t>
            </w:r>
          </w:p>
        </w:tc>
        <w:tc>
          <w:tcPr>
            <w:tcW w:w="1079"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毒性</w:t>
            </w:r>
          </w:p>
        </w:tc>
        <w:tc>
          <w:tcPr>
            <w:tcW w:w="1079"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桶</w:t>
            </w:r>
          </w:p>
        </w:tc>
        <w:tc>
          <w:tcPr>
            <w:tcW w:w="1079"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10</w:t>
            </w:r>
          </w:p>
        </w:tc>
        <w:tc>
          <w:tcPr>
            <w:tcW w:w="1082"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967"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15</w:t>
            </w:r>
          </w:p>
        </w:tc>
        <w:tc>
          <w:tcPr>
            <w:tcW w:w="1184"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TS002</w:t>
            </w:r>
          </w:p>
        </w:tc>
        <w:tc>
          <w:tcPr>
            <w:tcW w:w="1078"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贮存库</w:t>
            </w:r>
          </w:p>
        </w:tc>
        <w:tc>
          <w:tcPr>
            <w:tcW w:w="1236"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甲醚二次蒸馏焦油</w:t>
            </w:r>
          </w:p>
        </w:tc>
        <w:tc>
          <w:tcPr>
            <w:tcW w:w="1078"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其他化工生产过程（不包括以生物质为主要原料的加工过程）中精馏、蒸馏和热解工艺产生的高沸点釜底残余物</w:t>
            </w:r>
          </w:p>
        </w:tc>
        <w:tc>
          <w:tcPr>
            <w:tcW w:w="1078"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HW11</w:t>
            </w:r>
          </w:p>
        </w:tc>
        <w:tc>
          <w:tcPr>
            <w:tcW w:w="1078"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900-013-11</w:t>
            </w:r>
          </w:p>
        </w:tc>
        <w:tc>
          <w:tcPr>
            <w:tcW w:w="1078"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有机物、杂质</w:t>
            </w:r>
          </w:p>
        </w:tc>
        <w:tc>
          <w:tcPr>
            <w:tcW w:w="1078"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半固态</w:t>
            </w:r>
          </w:p>
        </w:tc>
        <w:tc>
          <w:tcPr>
            <w:tcW w:w="1079"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毒性</w:t>
            </w:r>
          </w:p>
        </w:tc>
        <w:tc>
          <w:tcPr>
            <w:tcW w:w="1079"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桶</w:t>
            </w:r>
          </w:p>
        </w:tc>
        <w:tc>
          <w:tcPr>
            <w:tcW w:w="1079"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0</w:t>
            </w:r>
          </w:p>
        </w:tc>
        <w:tc>
          <w:tcPr>
            <w:tcW w:w="1082"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967"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16</w:t>
            </w:r>
          </w:p>
        </w:tc>
        <w:tc>
          <w:tcPr>
            <w:tcW w:w="1184"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TS002</w:t>
            </w:r>
          </w:p>
        </w:tc>
        <w:tc>
          <w:tcPr>
            <w:tcW w:w="1078"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贮存库</w:t>
            </w:r>
          </w:p>
        </w:tc>
        <w:tc>
          <w:tcPr>
            <w:tcW w:w="1236"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间位油</w:t>
            </w:r>
          </w:p>
        </w:tc>
        <w:tc>
          <w:tcPr>
            <w:tcW w:w="1078"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氯苯、二氯苯生产过程中的蒸馏及分馏残渣</w:t>
            </w:r>
          </w:p>
        </w:tc>
        <w:tc>
          <w:tcPr>
            <w:tcW w:w="1078"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HW11</w:t>
            </w:r>
          </w:p>
        </w:tc>
        <w:tc>
          <w:tcPr>
            <w:tcW w:w="1078"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261-026-11</w:t>
            </w:r>
          </w:p>
        </w:tc>
        <w:tc>
          <w:tcPr>
            <w:tcW w:w="1078"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对二氯苯、邻二氯苯和杂质</w:t>
            </w:r>
          </w:p>
        </w:tc>
        <w:tc>
          <w:tcPr>
            <w:tcW w:w="1078"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半固态</w:t>
            </w:r>
          </w:p>
        </w:tc>
        <w:tc>
          <w:tcPr>
            <w:tcW w:w="1079"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毒性</w:t>
            </w:r>
          </w:p>
        </w:tc>
        <w:tc>
          <w:tcPr>
            <w:tcW w:w="1079"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桶</w:t>
            </w:r>
          </w:p>
        </w:tc>
        <w:tc>
          <w:tcPr>
            <w:tcW w:w="1079"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0</w:t>
            </w:r>
          </w:p>
        </w:tc>
        <w:tc>
          <w:tcPr>
            <w:tcW w:w="1082"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967"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17</w:t>
            </w:r>
          </w:p>
        </w:tc>
        <w:tc>
          <w:tcPr>
            <w:tcW w:w="1184"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TS002</w:t>
            </w:r>
          </w:p>
        </w:tc>
        <w:tc>
          <w:tcPr>
            <w:tcW w:w="1078"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贮存库</w:t>
            </w:r>
          </w:p>
        </w:tc>
        <w:tc>
          <w:tcPr>
            <w:tcW w:w="1236"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化验室废液</w:t>
            </w:r>
          </w:p>
        </w:tc>
        <w:tc>
          <w:tcPr>
            <w:tcW w:w="1078"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生产、研究、开发、教学、环境检测（监测）活动中，化学和生物实验室（不包含感染性医学实验室及医疗机构化验室）产生的含氰、氟、重金属无机废液及无机废液处理产生的残渣、残液，含矿物油、有机溶剂、甲醛有机废液，废酸、废碱，具有危险特性的残留样品，以及沾染上述物质的一次性实验用品（不包括按实验室管理要求进行清洗后的废弃的烧杯、量器、漏斗等实验室用品）、包装物（不包括按实验室管理要求进行清洗后的试剂包装物、容器）、过滤吸附介质等</w:t>
            </w:r>
          </w:p>
        </w:tc>
        <w:tc>
          <w:tcPr>
            <w:tcW w:w="1078"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HW49</w:t>
            </w:r>
          </w:p>
        </w:tc>
        <w:tc>
          <w:tcPr>
            <w:tcW w:w="1078"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900-047-49</w:t>
            </w:r>
          </w:p>
        </w:tc>
        <w:tc>
          <w:tcPr>
            <w:tcW w:w="1078"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有机溶剂</w:t>
            </w:r>
          </w:p>
        </w:tc>
        <w:tc>
          <w:tcPr>
            <w:tcW w:w="1078"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液态</w:t>
            </w:r>
          </w:p>
        </w:tc>
        <w:tc>
          <w:tcPr>
            <w:tcW w:w="1079"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毒性, 易燃性</w:t>
            </w:r>
          </w:p>
        </w:tc>
        <w:tc>
          <w:tcPr>
            <w:tcW w:w="1079"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桶</w:t>
            </w:r>
          </w:p>
        </w:tc>
        <w:tc>
          <w:tcPr>
            <w:tcW w:w="1079"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1</w:t>
            </w:r>
          </w:p>
        </w:tc>
        <w:tc>
          <w:tcPr>
            <w:tcW w:w="1082"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967"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18</w:t>
            </w:r>
          </w:p>
        </w:tc>
        <w:tc>
          <w:tcPr>
            <w:tcW w:w="1184"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TS002</w:t>
            </w:r>
          </w:p>
        </w:tc>
        <w:tc>
          <w:tcPr>
            <w:tcW w:w="1078"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贮存库</w:t>
            </w:r>
          </w:p>
        </w:tc>
        <w:tc>
          <w:tcPr>
            <w:tcW w:w="1236"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废包装物</w:t>
            </w:r>
          </w:p>
        </w:tc>
        <w:tc>
          <w:tcPr>
            <w:tcW w:w="1078"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含有或沾染毒性、感染性危险废物的废弃包装物、容器、过滤吸附介质</w:t>
            </w:r>
          </w:p>
        </w:tc>
        <w:tc>
          <w:tcPr>
            <w:tcW w:w="1078"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HW49</w:t>
            </w:r>
          </w:p>
        </w:tc>
        <w:tc>
          <w:tcPr>
            <w:tcW w:w="1078"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900-041-49</w:t>
            </w:r>
          </w:p>
        </w:tc>
        <w:tc>
          <w:tcPr>
            <w:tcW w:w="1078"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沾染有机物质</w:t>
            </w:r>
          </w:p>
        </w:tc>
        <w:tc>
          <w:tcPr>
            <w:tcW w:w="1078"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固态</w:t>
            </w:r>
          </w:p>
        </w:tc>
        <w:tc>
          <w:tcPr>
            <w:tcW w:w="1079"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毒性</w:t>
            </w:r>
          </w:p>
        </w:tc>
        <w:tc>
          <w:tcPr>
            <w:tcW w:w="1079"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袋装、桶装</w:t>
            </w:r>
          </w:p>
        </w:tc>
        <w:tc>
          <w:tcPr>
            <w:tcW w:w="1079"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2</w:t>
            </w:r>
          </w:p>
        </w:tc>
        <w:tc>
          <w:tcPr>
            <w:tcW w:w="1082"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967"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19</w:t>
            </w:r>
          </w:p>
        </w:tc>
        <w:tc>
          <w:tcPr>
            <w:tcW w:w="1184"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TS002</w:t>
            </w:r>
          </w:p>
        </w:tc>
        <w:tc>
          <w:tcPr>
            <w:tcW w:w="1078"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贮存库</w:t>
            </w:r>
          </w:p>
        </w:tc>
        <w:tc>
          <w:tcPr>
            <w:tcW w:w="1236"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废活性炭/抽滤废渣</w:t>
            </w:r>
          </w:p>
        </w:tc>
        <w:tc>
          <w:tcPr>
            <w:tcW w:w="1078"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烟气、VOCs治理过程（不包括餐饮行业油烟治理过程）产生的废活性炭，化学原料和化学制品脱色（不包括有机合成食品添加剂脱色）、除杂、净化过程产生的废活性炭（不包括900-405-06、772-005-18、261-053-29、265-002-29、384-003-29、387-001-29类危险废物）</w:t>
            </w:r>
          </w:p>
        </w:tc>
        <w:tc>
          <w:tcPr>
            <w:tcW w:w="1078"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HW49</w:t>
            </w:r>
          </w:p>
        </w:tc>
        <w:tc>
          <w:tcPr>
            <w:tcW w:w="1078"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900-039-49</w:t>
            </w:r>
          </w:p>
        </w:tc>
        <w:tc>
          <w:tcPr>
            <w:tcW w:w="1078"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废活性炭、杂质</w:t>
            </w:r>
          </w:p>
        </w:tc>
        <w:tc>
          <w:tcPr>
            <w:tcW w:w="1078"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固态</w:t>
            </w:r>
          </w:p>
        </w:tc>
        <w:tc>
          <w:tcPr>
            <w:tcW w:w="1079"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毒性</w:t>
            </w:r>
          </w:p>
        </w:tc>
        <w:tc>
          <w:tcPr>
            <w:tcW w:w="1079"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袋装、桶装</w:t>
            </w:r>
          </w:p>
        </w:tc>
        <w:tc>
          <w:tcPr>
            <w:tcW w:w="1079"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2</w:t>
            </w:r>
          </w:p>
        </w:tc>
        <w:tc>
          <w:tcPr>
            <w:tcW w:w="1082"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967"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20</w:t>
            </w:r>
          </w:p>
        </w:tc>
        <w:tc>
          <w:tcPr>
            <w:tcW w:w="1184"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TS002</w:t>
            </w:r>
          </w:p>
        </w:tc>
        <w:tc>
          <w:tcPr>
            <w:tcW w:w="1078"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贮存库</w:t>
            </w:r>
          </w:p>
        </w:tc>
        <w:tc>
          <w:tcPr>
            <w:tcW w:w="1236"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废水处理残渣</w:t>
            </w:r>
          </w:p>
        </w:tc>
        <w:tc>
          <w:tcPr>
            <w:tcW w:w="1078"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采用物理、化学、物理化学或者生物方法处理或者处置毒性或者感染性危险废物过程中产生的废水处理污泥和废水处理残渣（液）</w:t>
            </w:r>
          </w:p>
        </w:tc>
        <w:tc>
          <w:tcPr>
            <w:tcW w:w="1078"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HW49</w:t>
            </w:r>
          </w:p>
        </w:tc>
        <w:tc>
          <w:tcPr>
            <w:tcW w:w="1078"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772-006-49</w:t>
            </w:r>
          </w:p>
        </w:tc>
        <w:tc>
          <w:tcPr>
            <w:tcW w:w="1078"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毒性有机物、硝酸盐、硫酸盐</w:t>
            </w:r>
          </w:p>
        </w:tc>
        <w:tc>
          <w:tcPr>
            <w:tcW w:w="1078"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半固态</w:t>
            </w:r>
          </w:p>
        </w:tc>
        <w:tc>
          <w:tcPr>
            <w:tcW w:w="1079"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毒性</w:t>
            </w:r>
          </w:p>
        </w:tc>
        <w:tc>
          <w:tcPr>
            <w:tcW w:w="1079"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袋装、桶装</w:t>
            </w:r>
          </w:p>
        </w:tc>
        <w:tc>
          <w:tcPr>
            <w:tcW w:w="1079"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2</w:t>
            </w:r>
          </w:p>
        </w:tc>
        <w:tc>
          <w:tcPr>
            <w:tcW w:w="1082"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967"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21</w:t>
            </w:r>
          </w:p>
        </w:tc>
        <w:tc>
          <w:tcPr>
            <w:tcW w:w="1184"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TS001</w:t>
            </w:r>
          </w:p>
        </w:tc>
        <w:tc>
          <w:tcPr>
            <w:tcW w:w="1078"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贮存罐区</w:t>
            </w:r>
          </w:p>
        </w:tc>
        <w:tc>
          <w:tcPr>
            <w:tcW w:w="1236"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废硫酸</w:t>
            </w:r>
          </w:p>
        </w:tc>
        <w:tc>
          <w:tcPr>
            <w:tcW w:w="1078"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卤素和卤素化学品生产过程中产生的废酸</w:t>
            </w:r>
          </w:p>
        </w:tc>
        <w:tc>
          <w:tcPr>
            <w:tcW w:w="1078"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HW34</w:t>
            </w:r>
          </w:p>
        </w:tc>
        <w:tc>
          <w:tcPr>
            <w:tcW w:w="1078"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261-058-34</w:t>
            </w:r>
          </w:p>
        </w:tc>
        <w:tc>
          <w:tcPr>
            <w:tcW w:w="1078"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硫酸</w:t>
            </w:r>
          </w:p>
        </w:tc>
        <w:tc>
          <w:tcPr>
            <w:tcW w:w="1078"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液态</w:t>
            </w:r>
          </w:p>
        </w:tc>
        <w:tc>
          <w:tcPr>
            <w:tcW w:w="1079"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腐蚀性</w:t>
            </w:r>
          </w:p>
        </w:tc>
        <w:tc>
          <w:tcPr>
            <w:tcW w:w="1079"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罐装、桶装</w:t>
            </w:r>
          </w:p>
        </w:tc>
        <w:tc>
          <w:tcPr>
            <w:tcW w:w="1079"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0</w:t>
            </w:r>
          </w:p>
        </w:tc>
        <w:tc>
          <w:tcPr>
            <w:tcW w:w="1082"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吨</w:t>
            </w:r>
          </w:p>
        </w:tc>
      </w:tr>
    </w:tbl>
    <w:p>
      <w:pPr>
        <w:rPr>
          <w:rFonts w:hint="default" w:ascii="黑体" w:hAnsi="黑体" w:eastAsia="黑体" w:cs="黑体"/>
          <w:spacing w:val="-4"/>
          <w:sz w:val="30"/>
          <w:szCs w:val="30"/>
          <w:lang w:val="en-US" w:eastAsia="zh-CN"/>
        </w:rPr>
      </w:pPr>
      <w:r>
        <w:rPr>
          <w:rFonts w:ascii="黑体" w:hAnsi="黑体" w:eastAsia="黑体" w:cs="黑体"/>
          <w:spacing w:val="-6"/>
          <w:sz w:val="30"/>
          <w:szCs w:val="30"/>
        </w:rPr>
        <w:br w:type="page"/>
      </w:r>
    </w:p>
    <w:p>
      <w:pPr>
        <w:tabs>
          <w:tab w:val="left" w:pos="11402"/>
        </w:tabs>
        <w:rPr>
          <w:rFonts w:hint="eastAsia"/>
          <w:lang w:val="en-US" w:eastAsia="zh-CN"/>
        </w:rPr>
      </w:pPr>
      <w:r>
        <w:rPr>
          <w:rFonts w:hint="eastAsia"/>
          <w:sz w:val="13"/>
          <w:szCs w:val="13"/>
          <w:lang w:val="en-US" w:eastAsia="zh-CN"/>
        </w:rPr>
        <w:t/>
      </w:r>
      <w:r>
        <w:rPr>
          <w:sz w:val="13"/>
          <w:szCs w:val="13"/>
        </w:rPr>
        <w:fldChar w:fldCharType="end"/>
      </w:r>
      <w:r>
        <w:rPr>
          <w:sz w:val="13"/>
          <w:szCs w:val="13"/>
        </w:rPr>
        <w:fldChar w:fldCharType="begin"/>
      </w:r>
      <w:r>
        <w:rPr>
          <w:sz w:val="13"/>
          <w:szCs w:val="13"/>
        </w:rPr>
        <w:instrText xml:space="preserve"> MERGEFIELD  TableStart:table1  \* MERGEFORMAT </w:instrText>
      </w:r>
      <w:r>
        <w:rPr>
          <w:sz w:val="13"/>
          <w:szCs w:val="13"/>
        </w:rPr>
        <w:fldChar w:fldCharType="separate"/>
      </w:r>
      <w:r>
        <w:rPr>
          <w:rFonts w:hint="eastAsia"/>
          <w:sz w:val="13"/>
          <w:szCs w:val="13"/>
          <w:lang w:val="en-US" w:eastAsia="zh-CN"/>
        </w:rPr>
        <w:t/>
      </w:r>
      <w:r>
        <w:rPr>
          <w:sz w:val="13"/>
          <w:szCs w:val="13"/>
        </w:rPr>
        <w:fldChar w:fldCharType="end"/>
      </w:r>
      <w:r>
        <w:rPr>
          <w:rFonts w:hint="eastAsia"/>
          <w:sz w:val="13"/>
          <w:szCs w:val="13"/>
          <w:lang w:val="en-US" w:eastAsia="zh-CN"/>
        </w:rPr>
        <w:t xml:space="preserve">                                                               </w:t>
      </w:r>
      <w:r>
        <w:rPr>
          <w:rFonts w:hint="eastAsia"/>
          <w:lang w:val="en-US" w:eastAsia="zh-CN"/>
        </w:rPr>
        <w:t xml:space="preserve"> </w:t>
      </w:r>
    </w:p>
    <w:p>
      <w:pPr>
        <w:tabs>
          <w:tab w:val="left" w:pos="11402"/>
        </w:tabs>
        <w:ind w:firstLine="4312" w:firstLineChars="1400"/>
        <w:rPr>
          <w:rFonts w:ascii="黑体" w:hAnsi="黑体" w:eastAsia="黑体" w:cs="黑体"/>
          <w:spacing w:val="-3"/>
          <w:sz w:val="32"/>
          <w:szCs w:val="32"/>
        </w:rPr>
      </w:pPr>
      <w:r>
        <w:rPr>
          <w:rFonts w:ascii="黑体" w:hAnsi="黑体" w:eastAsia="黑体" w:cs="黑体"/>
          <w:spacing w:val="-6"/>
          <w:sz w:val="32"/>
          <w:szCs w:val="32"/>
        </w:rPr>
        <w:t>表</w:t>
      </w:r>
      <w:r>
        <w:rPr>
          <w:rFonts w:hint="eastAsia" w:ascii="黑体" w:hAnsi="黑体" w:eastAsia="黑体" w:cs="黑体"/>
          <w:spacing w:val="-6"/>
          <w:sz w:val="32"/>
          <w:szCs w:val="32"/>
          <w:lang w:val="en-US" w:eastAsia="zh-CN"/>
        </w:rPr>
        <w:t xml:space="preserve"> </w:t>
      </w:r>
      <w:r>
        <w:rPr>
          <w:rFonts w:hint="eastAsia" w:ascii="黑体" w:hAnsi="黑体" w:eastAsia="黑体" w:cs="黑体"/>
          <w:spacing w:val="-3"/>
          <w:sz w:val="32"/>
          <w:szCs w:val="32"/>
          <w:lang w:val="en-US" w:eastAsia="zh-CN"/>
        </w:rPr>
        <w:t>7</w:t>
      </w:r>
      <w:r>
        <w:rPr>
          <w:rFonts w:ascii="黑体" w:hAnsi="黑体" w:eastAsia="黑体" w:cs="黑体"/>
          <w:spacing w:val="-3"/>
          <w:sz w:val="32"/>
          <w:szCs w:val="32"/>
        </w:rPr>
        <w:t xml:space="preserve">  危险废物减量化计划和措施</w:t>
      </w:r>
    </w:p>
    <w:tbl>
      <w:tblPr>
        <w:tblStyle w:val="6"/>
        <w:tblW w:w="0" w:type="auto"/>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5"/>
        <w:gridCol w:w="1156"/>
        <w:gridCol w:w="2875"/>
        <w:gridCol w:w="2813"/>
        <w:gridCol w:w="2359"/>
        <w:gridCol w:w="2297"/>
        <w:gridCol w:w="1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125" w:type="dxa"/>
            <w:vMerge w:val="restart"/>
            <w:vAlign w:val="center"/>
          </w:tcPr>
          <w:p>
            <w:pPr>
              <w:spacing w:before="68" w:line="220" w:lineRule="auto"/>
              <w:jc w:val="center"/>
              <w:rPr>
                <w:rFonts w:hint="eastAsia" w:ascii="黑体" w:hAnsi="黑体" w:eastAsia="黑体" w:cs="黑体"/>
                <w:b/>
                <w:bCs/>
                <w:spacing w:val="-3"/>
                <w:sz w:val="24"/>
                <w:szCs w:val="24"/>
                <w:vertAlign w:val="baseline"/>
                <w:lang w:val="en-US" w:eastAsia="zh-CN"/>
              </w:rPr>
            </w:pPr>
            <w:r>
              <w:rPr>
                <w:rFonts w:hint="eastAsia" w:ascii="黑体" w:hAnsi="黑体" w:eastAsia="黑体" w:cs="黑体"/>
                <w:b/>
                <w:bCs/>
                <w:spacing w:val="-3"/>
                <w:sz w:val="24"/>
                <w:szCs w:val="24"/>
                <w:vertAlign w:val="baseline"/>
                <w:lang w:val="en-US" w:eastAsia="zh-CN"/>
              </w:rPr>
              <w:t>减少危险废物产生量的计划</w:t>
            </w:r>
          </w:p>
        </w:tc>
        <w:tc>
          <w:tcPr>
            <w:tcW w:w="1156" w:type="dxa"/>
            <w:vMerge w:val="restart"/>
            <w:vAlign w:val="center"/>
          </w:tcPr>
          <w:p>
            <w:pPr>
              <w:spacing w:before="68" w:line="220" w:lineRule="auto"/>
              <w:jc w:val="center"/>
              <w:rPr>
                <w:rFonts w:hint="eastAsia" w:ascii="黑体" w:hAnsi="黑体" w:eastAsia="黑体" w:cs="黑体"/>
                <w:b/>
                <w:bCs/>
                <w:spacing w:val="-3"/>
                <w:sz w:val="24"/>
                <w:szCs w:val="24"/>
                <w:vertAlign w:val="baseline"/>
                <w:lang w:val="en-US" w:eastAsia="zh-CN"/>
              </w:rPr>
            </w:pPr>
            <w:r>
              <w:rPr>
                <w:rFonts w:hint="eastAsia" w:ascii="黑体" w:hAnsi="黑体" w:eastAsia="黑体" w:cs="黑体"/>
                <w:b/>
                <w:bCs/>
                <w:spacing w:val="-3"/>
                <w:sz w:val="24"/>
                <w:szCs w:val="24"/>
                <w:vertAlign w:val="baseline"/>
                <w:lang w:val="en-US" w:eastAsia="zh-CN"/>
              </w:rPr>
              <w:t>序号</w:t>
            </w:r>
          </w:p>
        </w:tc>
        <w:tc>
          <w:tcPr>
            <w:tcW w:w="5688" w:type="dxa"/>
            <w:gridSpan w:val="2"/>
            <w:vAlign w:val="center"/>
          </w:tcPr>
          <w:p>
            <w:pPr>
              <w:spacing w:before="68" w:line="220" w:lineRule="auto"/>
              <w:jc w:val="center"/>
              <w:rPr>
                <w:rFonts w:hint="eastAsia" w:ascii="黑体" w:hAnsi="黑体" w:eastAsia="黑体" w:cs="黑体"/>
                <w:b/>
                <w:bCs/>
                <w:spacing w:val="-3"/>
                <w:sz w:val="24"/>
                <w:szCs w:val="24"/>
                <w:vertAlign w:val="baseline"/>
                <w:lang w:val="en-US" w:eastAsia="zh-CN"/>
              </w:rPr>
            </w:pPr>
            <w:r>
              <w:rPr>
                <w:rFonts w:hint="eastAsia" w:ascii="黑体" w:hAnsi="黑体" w:eastAsia="黑体" w:cs="黑体"/>
                <w:b/>
                <w:bCs/>
                <w:spacing w:val="-3"/>
                <w:sz w:val="24"/>
                <w:szCs w:val="24"/>
                <w:vertAlign w:val="baseline"/>
                <w:lang w:val="en-US" w:eastAsia="zh-CN"/>
              </w:rPr>
              <w:t>危险废物名称</w:t>
            </w:r>
          </w:p>
        </w:tc>
        <w:tc>
          <w:tcPr>
            <w:tcW w:w="2359" w:type="dxa"/>
            <w:vMerge w:val="restart"/>
            <w:vAlign w:val="center"/>
          </w:tcPr>
          <w:p>
            <w:pPr>
              <w:spacing w:before="68" w:line="220" w:lineRule="auto"/>
              <w:jc w:val="center"/>
              <w:rPr>
                <w:rFonts w:hint="eastAsia" w:ascii="黑体" w:hAnsi="黑体" w:eastAsia="黑体" w:cs="黑体"/>
                <w:b/>
                <w:bCs/>
                <w:spacing w:val="-3"/>
                <w:sz w:val="24"/>
                <w:szCs w:val="24"/>
                <w:vertAlign w:val="baseline"/>
                <w:lang w:val="en-US" w:eastAsia="zh-CN"/>
              </w:rPr>
            </w:pPr>
            <w:r>
              <w:rPr>
                <w:rFonts w:hint="eastAsia" w:ascii="黑体" w:hAnsi="黑体" w:eastAsia="黑体" w:cs="黑体"/>
                <w:b/>
                <w:bCs/>
                <w:spacing w:val="-3"/>
                <w:sz w:val="24"/>
                <w:szCs w:val="24"/>
                <w:vertAlign w:val="baseline"/>
                <w:lang w:val="en-US" w:eastAsia="zh-CN"/>
              </w:rPr>
              <w:t>本年度预计产生量</w:t>
            </w:r>
          </w:p>
        </w:tc>
        <w:tc>
          <w:tcPr>
            <w:tcW w:w="2297" w:type="dxa"/>
            <w:vMerge w:val="restart"/>
            <w:vAlign w:val="center"/>
          </w:tcPr>
          <w:p>
            <w:pPr>
              <w:spacing w:before="68" w:line="220" w:lineRule="auto"/>
              <w:jc w:val="center"/>
              <w:rPr>
                <w:rFonts w:hint="eastAsia" w:ascii="黑体" w:hAnsi="黑体" w:eastAsia="黑体" w:cs="黑体"/>
                <w:b/>
                <w:bCs/>
                <w:spacing w:val="-3"/>
                <w:sz w:val="24"/>
                <w:szCs w:val="24"/>
                <w:vertAlign w:val="baseline"/>
                <w:lang w:val="en-US" w:eastAsia="zh-CN"/>
              </w:rPr>
            </w:pPr>
            <w:r>
              <w:rPr>
                <w:rFonts w:hint="eastAsia" w:ascii="黑体" w:hAnsi="黑体" w:eastAsia="黑体" w:cs="黑体"/>
                <w:b/>
                <w:bCs/>
                <w:spacing w:val="-3"/>
                <w:sz w:val="24"/>
                <w:szCs w:val="24"/>
                <w:vertAlign w:val="baseline"/>
                <w:lang w:val="en-US" w:eastAsia="zh-CN"/>
              </w:rPr>
              <w:t>预计减少量</w:t>
            </w:r>
          </w:p>
        </w:tc>
        <w:tc>
          <w:tcPr>
            <w:tcW w:w="1328" w:type="dxa"/>
            <w:vMerge w:val="restart"/>
            <w:vAlign w:val="center"/>
          </w:tcPr>
          <w:p>
            <w:pPr>
              <w:spacing w:before="68" w:line="220" w:lineRule="auto"/>
              <w:jc w:val="center"/>
              <w:rPr>
                <w:rFonts w:hint="eastAsia" w:ascii="黑体" w:hAnsi="黑体" w:eastAsia="黑体" w:cs="黑体"/>
                <w:b/>
                <w:bCs/>
                <w:spacing w:val="-3"/>
                <w:sz w:val="24"/>
                <w:szCs w:val="24"/>
                <w:vertAlign w:val="baseline"/>
                <w:lang w:val="en-US" w:eastAsia="zh-CN"/>
              </w:rPr>
            </w:pPr>
            <w:r>
              <w:rPr>
                <w:rFonts w:hint="eastAsia" w:ascii="黑体" w:hAnsi="黑体" w:eastAsia="黑体" w:cs="黑体"/>
                <w:b/>
                <w:bCs/>
                <w:spacing w:val="-3"/>
                <w:sz w:val="24"/>
                <w:szCs w:val="24"/>
                <w:vertAlign w:val="baseline"/>
                <w:lang w:val="en-US" w:eastAsia="zh-CN"/>
              </w:rPr>
              <w:t>计量单位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125" w:type="dxa"/>
            <w:vMerge w:val="continue"/>
            <w:vAlign w:val="center"/>
          </w:tcPr>
          <w:p>
            <w:pPr>
              <w:spacing w:before="68" w:line="220" w:lineRule="auto"/>
              <w:jc w:val="center"/>
              <w:rPr>
                <w:rFonts w:hint="eastAsia" w:ascii="黑体" w:hAnsi="黑体" w:eastAsia="黑体" w:cs="黑体"/>
                <w:b/>
                <w:bCs/>
                <w:spacing w:val="-3"/>
                <w:sz w:val="24"/>
                <w:szCs w:val="24"/>
                <w:vertAlign w:val="baseline"/>
              </w:rPr>
            </w:pPr>
          </w:p>
        </w:tc>
        <w:tc>
          <w:tcPr>
            <w:tcW w:w="1156" w:type="dxa"/>
            <w:vMerge w:val="continue"/>
            <w:vAlign w:val="center"/>
          </w:tcPr>
          <w:p>
            <w:pPr>
              <w:spacing w:before="68" w:line="220" w:lineRule="auto"/>
              <w:jc w:val="center"/>
              <w:rPr>
                <w:rFonts w:hint="eastAsia" w:asciiTheme="minorEastAsia" w:hAnsiTheme="minorEastAsia" w:eastAsiaTheme="minorEastAsia" w:cstheme="minorEastAsia"/>
                <w:spacing w:val="-3"/>
                <w:sz w:val="21"/>
                <w:szCs w:val="21"/>
                <w:vertAlign w:val="baseline"/>
              </w:rPr>
            </w:pPr>
          </w:p>
        </w:tc>
        <w:tc>
          <w:tcPr>
            <w:tcW w:w="2875"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黑体" w:hAnsi="黑体" w:eastAsia="黑体" w:cs="黑体"/>
                <w:b/>
                <w:bCs/>
                <w:spacing w:val="-3"/>
                <w:sz w:val="24"/>
                <w:szCs w:val="24"/>
                <w:vertAlign w:val="baseline"/>
                <w:lang w:val="en-US" w:eastAsia="zh-CN"/>
              </w:rPr>
              <w:t>行业俗称/单位内部名称</w:t>
            </w:r>
            <w:r>
              <w:rPr>
                <w:rFonts w:hint="eastAsia" w:asciiTheme="minorEastAsia" w:hAnsiTheme="minorEastAsia" w:cstheme="minorEastAsia"/>
                <w:spacing w:val="-3"/>
                <w:sz w:val="21"/>
                <w:szCs w:val="21"/>
                <w:vertAlign w:val="baseline"/>
                <w:lang w:val="en-US" w:eastAsia="zh-CN"/>
              </w:rPr>
              <w:t/>
            </w:r>
          </w:p>
        </w:tc>
        <w:tc>
          <w:tcPr>
            <w:tcW w:w="2813"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黑体" w:hAnsi="黑体" w:eastAsia="黑体" w:cs="黑体"/>
                <w:b/>
                <w:bCs/>
                <w:spacing w:val="-3"/>
                <w:sz w:val="24"/>
                <w:szCs w:val="24"/>
                <w:vertAlign w:val="baseline"/>
                <w:lang w:val="en-US" w:eastAsia="zh-CN"/>
              </w:rPr>
              <w:t>国家危险废物名录名称</w:t>
            </w:r>
          </w:p>
        </w:tc>
        <w:tc>
          <w:tcPr>
            <w:tcW w:w="2359" w:type="dxa"/>
            <w:vMerge w:val="continue"/>
            <w:vAlign w:val="center"/>
          </w:tcPr>
          <w:p>
            <w:pPr>
              <w:spacing w:before="68" w:line="220" w:lineRule="auto"/>
              <w:jc w:val="center"/>
              <w:rPr>
                <w:rFonts w:hint="eastAsia" w:asciiTheme="minorEastAsia" w:hAnsiTheme="minorEastAsia" w:eastAsiaTheme="minorEastAsia" w:cstheme="minorEastAsia"/>
                <w:spacing w:val="-3"/>
                <w:sz w:val="21"/>
                <w:szCs w:val="21"/>
                <w:vertAlign w:val="baseline"/>
              </w:rPr>
            </w:pPr>
          </w:p>
        </w:tc>
        <w:tc>
          <w:tcPr>
            <w:tcW w:w="2297" w:type="dxa"/>
            <w:vMerge w:val="continue"/>
            <w:vAlign w:val="center"/>
          </w:tcPr>
          <w:p>
            <w:pPr>
              <w:spacing w:before="68" w:line="220" w:lineRule="auto"/>
              <w:jc w:val="center"/>
              <w:rPr>
                <w:rFonts w:hint="eastAsia" w:asciiTheme="minorEastAsia" w:hAnsiTheme="minorEastAsia" w:eastAsiaTheme="minorEastAsia" w:cstheme="minorEastAsia"/>
                <w:spacing w:val="-3"/>
                <w:sz w:val="21"/>
                <w:szCs w:val="21"/>
                <w:vertAlign w:val="baseline"/>
              </w:rPr>
            </w:pPr>
          </w:p>
        </w:tc>
        <w:tc>
          <w:tcPr>
            <w:tcW w:w="1328" w:type="dxa"/>
            <w:vMerge w:val="continue"/>
            <w:vAlign w:val="center"/>
          </w:tcPr>
          <w:p>
            <w:pPr>
              <w:spacing w:before="68" w:line="220" w:lineRule="auto"/>
              <w:jc w:val="center"/>
              <w:rPr>
                <w:rFonts w:hint="eastAsia" w:asciiTheme="minorEastAsia" w:hAnsiTheme="minorEastAsia" w:eastAsiaTheme="minorEastAsia" w:cstheme="minorEastAsia"/>
                <w:spacing w:val="-3"/>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25" w:type="dxa"/>
            <w:vMerge w:val="continue"/>
            <w:vAlign w:val="center"/>
          </w:tcPr>
          <w:p>
            <w:pPr>
              <w:spacing w:before="68" w:line="220" w:lineRule="auto"/>
              <w:jc w:val="center"/>
              <w:rPr>
                <w:rFonts w:hint="eastAsia" w:ascii="黑体" w:hAnsi="黑体" w:eastAsia="黑体" w:cs="黑体"/>
                <w:b/>
                <w:bCs/>
                <w:spacing w:val="-3"/>
                <w:sz w:val="24"/>
                <w:szCs w:val="24"/>
                <w:vertAlign w:val="baseline"/>
              </w:rPr>
            </w:pPr>
          </w:p>
        </w:tc>
        <w:tc>
          <w:tcPr>
            <w:tcW w:w="1156"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1</w:t>
            </w:r>
          </w:p>
        </w:tc>
        <w:tc>
          <w:tcPr>
            <w:tcW w:w="2875"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废包装物</w:t>
            </w:r>
          </w:p>
        </w:tc>
        <w:tc>
          <w:tcPr>
            <w:tcW w:w="2813"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含有或沾染毒性、感染性危险废物的废弃包装物、容器、过滤吸附介质</w:t>
            </w:r>
          </w:p>
        </w:tc>
        <w:tc>
          <w:tcPr>
            <w:tcW w:w="2359"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60</w:t>
            </w:r>
          </w:p>
        </w:tc>
        <w:tc>
          <w:tcPr>
            <w:tcW w:w="2297"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3</w:t>
            </w:r>
          </w:p>
        </w:tc>
        <w:tc>
          <w:tcPr>
            <w:tcW w:w="1328"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25" w:type="dxa"/>
            <w:vMerge w:val="continue"/>
            <w:vAlign w:val="center"/>
          </w:tcPr>
          <w:p>
            <w:pPr>
              <w:spacing w:before="68" w:line="220" w:lineRule="auto"/>
              <w:jc w:val="center"/>
              <w:rPr>
                <w:rFonts w:hint="eastAsia" w:ascii="黑体" w:hAnsi="黑体" w:eastAsia="黑体" w:cs="黑体"/>
                <w:b/>
                <w:bCs/>
                <w:spacing w:val="-3"/>
                <w:sz w:val="24"/>
                <w:szCs w:val="24"/>
                <w:vertAlign w:val="baseline"/>
              </w:rPr>
            </w:pPr>
          </w:p>
        </w:tc>
        <w:tc>
          <w:tcPr>
            <w:tcW w:w="1156"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2</w:t>
            </w:r>
          </w:p>
        </w:tc>
        <w:tc>
          <w:tcPr>
            <w:tcW w:w="2875"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废焦油</w:t>
            </w:r>
          </w:p>
        </w:tc>
        <w:tc>
          <w:tcPr>
            <w:tcW w:w="2813"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其他化工生产过程（不包括以生物质为主要原料的加工过程）中精馏、蒸馏和热解工艺产生的高沸点釜底残余物</w:t>
            </w:r>
          </w:p>
        </w:tc>
        <w:tc>
          <w:tcPr>
            <w:tcW w:w="2359"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400</w:t>
            </w:r>
          </w:p>
        </w:tc>
        <w:tc>
          <w:tcPr>
            <w:tcW w:w="2297"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5</w:t>
            </w:r>
          </w:p>
        </w:tc>
        <w:tc>
          <w:tcPr>
            <w:tcW w:w="1328"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25" w:type="dxa"/>
            <w:vMerge w:val="continue"/>
            <w:vAlign w:val="center"/>
          </w:tcPr>
          <w:p>
            <w:pPr>
              <w:spacing w:before="68" w:line="220" w:lineRule="auto"/>
              <w:jc w:val="center"/>
              <w:rPr>
                <w:rFonts w:hint="eastAsia" w:ascii="黑体" w:hAnsi="黑体" w:eastAsia="黑体" w:cs="黑体"/>
                <w:b/>
                <w:bCs/>
                <w:spacing w:val="-3"/>
                <w:sz w:val="24"/>
                <w:szCs w:val="24"/>
                <w:vertAlign w:val="baseline"/>
              </w:rPr>
            </w:pPr>
          </w:p>
        </w:tc>
        <w:tc>
          <w:tcPr>
            <w:tcW w:w="1156"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3</w:t>
            </w:r>
          </w:p>
        </w:tc>
        <w:tc>
          <w:tcPr>
            <w:tcW w:w="2875"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蒸馏釜残</w:t>
            </w:r>
          </w:p>
        </w:tc>
        <w:tc>
          <w:tcPr>
            <w:tcW w:w="2813"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其他化工生产过程（不包括以生物质为主要原料的加工过程）中精馏、蒸馏和热解工艺产生的高沸点釜底残余物</w:t>
            </w:r>
          </w:p>
        </w:tc>
        <w:tc>
          <w:tcPr>
            <w:tcW w:w="2359"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1000</w:t>
            </w:r>
          </w:p>
        </w:tc>
        <w:tc>
          <w:tcPr>
            <w:tcW w:w="2297"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10</w:t>
            </w:r>
          </w:p>
        </w:tc>
        <w:tc>
          <w:tcPr>
            <w:tcW w:w="1328"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25" w:type="dxa"/>
            <w:vMerge w:val="continue"/>
            <w:vAlign w:val="center"/>
          </w:tcPr>
          <w:p>
            <w:pPr>
              <w:spacing w:before="68" w:line="220" w:lineRule="auto"/>
              <w:jc w:val="center"/>
              <w:rPr>
                <w:rFonts w:hint="eastAsia" w:ascii="黑体" w:hAnsi="黑体" w:eastAsia="黑体" w:cs="黑体"/>
                <w:b/>
                <w:bCs/>
                <w:spacing w:val="-3"/>
                <w:sz w:val="24"/>
                <w:szCs w:val="24"/>
                <w:vertAlign w:val="baseline"/>
              </w:rPr>
            </w:pPr>
          </w:p>
        </w:tc>
        <w:tc>
          <w:tcPr>
            <w:tcW w:w="1156"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4</w:t>
            </w:r>
          </w:p>
        </w:tc>
        <w:tc>
          <w:tcPr>
            <w:tcW w:w="2875"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废硫酸</w:t>
            </w:r>
          </w:p>
        </w:tc>
        <w:tc>
          <w:tcPr>
            <w:tcW w:w="2813"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卤素和卤素化学品生产过程中产生的废酸</w:t>
            </w:r>
          </w:p>
        </w:tc>
        <w:tc>
          <w:tcPr>
            <w:tcW w:w="2359"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4500</w:t>
            </w:r>
          </w:p>
        </w:tc>
        <w:tc>
          <w:tcPr>
            <w:tcW w:w="2297"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0</w:t>
            </w:r>
          </w:p>
        </w:tc>
        <w:tc>
          <w:tcPr>
            <w:tcW w:w="1328"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25" w:type="dxa"/>
            <w:vMerge w:val="continue"/>
            <w:vAlign w:val="center"/>
          </w:tcPr>
          <w:p>
            <w:pPr>
              <w:spacing w:before="68" w:line="220" w:lineRule="auto"/>
              <w:jc w:val="center"/>
              <w:rPr>
                <w:rFonts w:hint="eastAsia" w:ascii="黑体" w:hAnsi="黑体" w:eastAsia="黑体" w:cs="黑体"/>
                <w:b/>
                <w:bCs/>
                <w:spacing w:val="-3"/>
                <w:sz w:val="24"/>
                <w:szCs w:val="24"/>
                <w:vertAlign w:val="baseline"/>
              </w:rPr>
            </w:pPr>
          </w:p>
        </w:tc>
        <w:tc>
          <w:tcPr>
            <w:tcW w:w="1156"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5</w:t>
            </w:r>
          </w:p>
        </w:tc>
        <w:tc>
          <w:tcPr>
            <w:tcW w:w="2875"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混合二氯苯</w:t>
            </w:r>
          </w:p>
        </w:tc>
        <w:tc>
          <w:tcPr>
            <w:tcW w:w="2813"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氯苯、二氯苯生产过程中的蒸馏及分馏残渣</w:t>
            </w:r>
          </w:p>
        </w:tc>
        <w:tc>
          <w:tcPr>
            <w:tcW w:w="2359"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3000</w:t>
            </w:r>
          </w:p>
        </w:tc>
        <w:tc>
          <w:tcPr>
            <w:tcW w:w="2297"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10</w:t>
            </w:r>
          </w:p>
        </w:tc>
        <w:tc>
          <w:tcPr>
            <w:tcW w:w="1328"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25" w:type="dxa"/>
            <w:vMerge w:val="continue"/>
            <w:vAlign w:val="center"/>
          </w:tcPr>
          <w:p>
            <w:pPr>
              <w:spacing w:before="68" w:line="220" w:lineRule="auto"/>
              <w:jc w:val="center"/>
              <w:rPr>
                <w:rFonts w:hint="eastAsia" w:ascii="黑体" w:hAnsi="黑体" w:eastAsia="黑体" w:cs="黑体"/>
                <w:b/>
                <w:bCs/>
                <w:spacing w:val="-3"/>
                <w:sz w:val="24"/>
                <w:szCs w:val="24"/>
                <w:vertAlign w:val="baseline"/>
              </w:rPr>
            </w:pPr>
          </w:p>
        </w:tc>
        <w:tc>
          <w:tcPr>
            <w:tcW w:w="1156"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6</w:t>
            </w:r>
          </w:p>
        </w:tc>
        <w:tc>
          <w:tcPr>
            <w:tcW w:w="2875"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废树脂</w:t>
            </w:r>
          </w:p>
        </w:tc>
        <w:tc>
          <w:tcPr>
            <w:tcW w:w="2813"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湿法冶金、表面处理和制药行业重金属、抗生素提取、分离过程产生的废弃离子交换树脂，以及工业废水处理过程产生的废弃离子交换树脂</w:t>
            </w:r>
          </w:p>
        </w:tc>
        <w:tc>
          <w:tcPr>
            <w:tcW w:w="2359"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30</w:t>
            </w:r>
          </w:p>
        </w:tc>
        <w:tc>
          <w:tcPr>
            <w:tcW w:w="2297"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1</w:t>
            </w:r>
          </w:p>
        </w:tc>
        <w:tc>
          <w:tcPr>
            <w:tcW w:w="1328"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25" w:type="dxa"/>
            <w:vMerge w:val="continue"/>
            <w:vAlign w:val="center"/>
          </w:tcPr>
          <w:p>
            <w:pPr>
              <w:spacing w:before="68" w:line="220" w:lineRule="auto"/>
              <w:jc w:val="center"/>
              <w:rPr>
                <w:rFonts w:hint="eastAsia" w:ascii="黑体" w:hAnsi="黑体" w:eastAsia="黑体" w:cs="黑体"/>
                <w:b/>
                <w:bCs/>
                <w:spacing w:val="-3"/>
                <w:sz w:val="24"/>
                <w:szCs w:val="24"/>
                <w:vertAlign w:val="baseline"/>
              </w:rPr>
            </w:pPr>
          </w:p>
        </w:tc>
        <w:tc>
          <w:tcPr>
            <w:tcW w:w="1156"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7</w:t>
            </w:r>
          </w:p>
        </w:tc>
        <w:tc>
          <w:tcPr>
            <w:tcW w:w="2875"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废岩棉</w:t>
            </w:r>
          </w:p>
        </w:tc>
        <w:tc>
          <w:tcPr>
            <w:tcW w:w="2813"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其他生产过程中产生的石棉废物</w:t>
            </w:r>
          </w:p>
        </w:tc>
        <w:tc>
          <w:tcPr>
            <w:tcW w:w="2359"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100</w:t>
            </w:r>
          </w:p>
        </w:tc>
        <w:tc>
          <w:tcPr>
            <w:tcW w:w="2297"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10</w:t>
            </w:r>
          </w:p>
        </w:tc>
        <w:tc>
          <w:tcPr>
            <w:tcW w:w="1328"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25" w:type="dxa"/>
            <w:vMerge w:val="continue"/>
            <w:vAlign w:val="center"/>
          </w:tcPr>
          <w:p>
            <w:pPr>
              <w:spacing w:before="68" w:line="220" w:lineRule="auto"/>
              <w:jc w:val="center"/>
              <w:rPr>
                <w:rFonts w:hint="eastAsia" w:ascii="黑体" w:hAnsi="黑体" w:eastAsia="黑体" w:cs="黑体"/>
                <w:b/>
                <w:bCs/>
                <w:spacing w:val="-3"/>
                <w:sz w:val="24"/>
                <w:szCs w:val="24"/>
                <w:vertAlign w:val="baseline"/>
              </w:rPr>
            </w:pPr>
          </w:p>
        </w:tc>
        <w:tc>
          <w:tcPr>
            <w:tcW w:w="1156"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8</w:t>
            </w:r>
          </w:p>
        </w:tc>
        <w:tc>
          <w:tcPr>
            <w:tcW w:w="2875"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废水处理残渣</w:t>
            </w:r>
          </w:p>
        </w:tc>
        <w:tc>
          <w:tcPr>
            <w:tcW w:w="2813"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采用物理、化学、物理化学或者生物方法处理或者处置毒性或者感染性危险废物过程中产生的废水处理污泥和废水处理残渣（液）</w:t>
            </w:r>
          </w:p>
        </w:tc>
        <w:tc>
          <w:tcPr>
            <w:tcW w:w="2359"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200</w:t>
            </w:r>
          </w:p>
        </w:tc>
        <w:tc>
          <w:tcPr>
            <w:tcW w:w="2297"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5</w:t>
            </w:r>
          </w:p>
        </w:tc>
        <w:tc>
          <w:tcPr>
            <w:tcW w:w="1328"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25" w:type="dxa"/>
            <w:vMerge w:val="continue"/>
            <w:vAlign w:val="center"/>
          </w:tcPr>
          <w:p>
            <w:pPr>
              <w:spacing w:before="68" w:line="220" w:lineRule="auto"/>
              <w:jc w:val="center"/>
              <w:rPr>
                <w:rFonts w:hint="eastAsia" w:ascii="黑体" w:hAnsi="黑体" w:eastAsia="黑体" w:cs="黑体"/>
                <w:b/>
                <w:bCs/>
                <w:spacing w:val="-3"/>
                <w:sz w:val="24"/>
                <w:szCs w:val="24"/>
                <w:vertAlign w:val="baseline"/>
              </w:rPr>
            </w:pPr>
          </w:p>
        </w:tc>
        <w:tc>
          <w:tcPr>
            <w:tcW w:w="1156"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9</w:t>
            </w:r>
          </w:p>
        </w:tc>
        <w:tc>
          <w:tcPr>
            <w:tcW w:w="2875"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粗制下脚/精制下脚</w:t>
            </w:r>
          </w:p>
        </w:tc>
        <w:tc>
          <w:tcPr>
            <w:tcW w:w="2813"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其他化工生产过程（不包括以生物质为主要原料的加工过程）中精馏、蒸馏和热解工艺产生的高沸点釜底残余物</w:t>
            </w:r>
          </w:p>
        </w:tc>
        <w:tc>
          <w:tcPr>
            <w:tcW w:w="2359"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300</w:t>
            </w:r>
          </w:p>
        </w:tc>
        <w:tc>
          <w:tcPr>
            <w:tcW w:w="2297"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10</w:t>
            </w:r>
          </w:p>
        </w:tc>
        <w:tc>
          <w:tcPr>
            <w:tcW w:w="1328"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25" w:type="dxa"/>
            <w:vMerge w:val="continue"/>
            <w:vAlign w:val="center"/>
          </w:tcPr>
          <w:p>
            <w:pPr>
              <w:spacing w:before="68" w:line="220" w:lineRule="auto"/>
              <w:jc w:val="center"/>
              <w:rPr>
                <w:rFonts w:hint="eastAsia" w:ascii="黑体" w:hAnsi="黑体" w:eastAsia="黑体" w:cs="黑体"/>
                <w:b/>
                <w:bCs/>
                <w:spacing w:val="-3"/>
                <w:sz w:val="24"/>
                <w:szCs w:val="24"/>
                <w:vertAlign w:val="baseline"/>
              </w:rPr>
            </w:pPr>
          </w:p>
        </w:tc>
        <w:tc>
          <w:tcPr>
            <w:tcW w:w="1156"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10</w:t>
            </w:r>
          </w:p>
        </w:tc>
        <w:tc>
          <w:tcPr>
            <w:tcW w:w="2875"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间位油</w:t>
            </w:r>
          </w:p>
        </w:tc>
        <w:tc>
          <w:tcPr>
            <w:tcW w:w="2813"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氯苯、二氯苯生产过程中的蒸馏及分馏残渣</w:t>
            </w:r>
          </w:p>
        </w:tc>
        <w:tc>
          <w:tcPr>
            <w:tcW w:w="2359"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400</w:t>
            </w:r>
          </w:p>
        </w:tc>
        <w:tc>
          <w:tcPr>
            <w:tcW w:w="2297"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5</w:t>
            </w:r>
          </w:p>
        </w:tc>
        <w:tc>
          <w:tcPr>
            <w:tcW w:w="1328"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25" w:type="dxa"/>
            <w:vMerge w:val="continue"/>
            <w:vAlign w:val="center"/>
          </w:tcPr>
          <w:p>
            <w:pPr>
              <w:spacing w:before="68" w:line="220" w:lineRule="auto"/>
              <w:jc w:val="center"/>
              <w:rPr>
                <w:rFonts w:hint="eastAsia" w:ascii="黑体" w:hAnsi="黑体" w:eastAsia="黑体" w:cs="黑体"/>
                <w:b/>
                <w:bCs/>
                <w:spacing w:val="-3"/>
                <w:sz w:val="24"/>
                <w:szCs w:val="24"/>
                <w:vertAlign w:val="baseline"/>
              </w:rPr>
            </w:pPr>
          </w:p>
        </w:tc>
        <w:tc>
          <w:tcPr>
            <w:tcW w:w="1156"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11</w:t>
            </w:r>
          </w:p>
        </w:tc>
        <w:tc>
          <w:tcPr>
            <w:tcW w:w="2875"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产品精制焦油（精蒸馏残渣）</w:t>
            </w:r>
          </w:p>
        </w:tc>
        <w:tc>
          <w:tcPr>
            <w:tcW w:w="2813"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其他化工生产过程（不包括以生物质为主要原料的加工过程）中精馏、蒸馏和热解工艺产生的高沸点釜底残余物</w:t>
            </w:r>
          </w:p>
        </w:tc>
        <w:tc>
          <w:tcPr>
            <w:tcW w:w="2359"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400</w:t>
            </w:r>
          </w:p>
        </w:tc>
        <w:tc>
          <w:tcPr>
            <w:tcW w:w="2297"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10</w:t>
            </w:r>
          </w:p>
        </w:tc>
        <w:tc>
          <w:tcPr>
            <w:tcW w:w="1328"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25" w:type="dxa"/>
            <w:vMerge w:val="continue"/>
            <w:vAlign w:val="center"/>
          </w:tcPr>
          <w:p>
            <w:pPr>
              <w:spacing w:before="68" w:line="220" w:lineRule="auto"/>
              <w:jc w:val="center"/>
              <w:rPr>
                <w:rFonts w:hint="eastAsia" w:ascii="黑体" w:hAnsi="黑体" w:eastAsia="黑体" w:cs="黑体"/>
                <w:b/>
                <w:bCs/>
                <w:spacing w:val="-3"/>
                <w:sz w:val="24"/>
                <w:szCs w:val="24"/>
                <w:vertAlign w:val="baseline"/>
              </w:rPr>
            </w:pPr>
          </w:p>
        </w:tc>
        <w:tc>
          <w:tcPr>
            <w:tcW w:w="1156"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12</w:t>
            </w:r>
          </w:p>
        </w:tc>
        <w:tc>
          <w:tcPr>
            <w:tcW w:w="2875"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废镍催化剂</w:t>
            </w:r>
          </w:p>
        </w:tc>
        <w:tc>
          <w:tcPr>
            <w:tcW w:w="2813"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废弃的镍催化剂</w:t>
            </w:r>
          </w:p>
        </w:tc>
        <w:tc>
          <w:tcPr>
            <w:tcW w:w="2359"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150</w:t>
            </w:r>
          </w:p>
        </w:tc>
        <w:tc>
          <w:tcPr>
            <w:tcW w:w="2297"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5</w:t>
            </w:r>
          </w:p>
        </w:tc>
        <w:tc>
          <w:tcPr>
            <w:tcW w:w="1328"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25" w:type="dxa"/>
            <w:vMerge w:val="continue"/>
            <w:vAlign w:val="center"/>
          </w:tcPr>
          <w:p>
            <w:pPr>
              <w:spacing w:before="68" w:line="220" w:lineRule="auto"/>
              <w:jc w:val="center"/>
              <w:rPr>
                <w:rFonts w:hint="eastAsia" w:ascii="黑体" w:hAnsi="黑体" w:eastAsia="黑体" w:cs="黑体"/>
                <w:b/>
                <w:bCs/>
                <w:spacing w:val="-3"/>
                <w:sz w:val="24"/>
                <w:szCs w:val="24"/>
                <w:vertAlign w:val="baseline"/>
              </w:rPr>
            </w:pPr>
          </w:p>
        </w:tc>
        <w:tc>
          <w:tcPr>
            <w:tcW w:w="1156"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13</w:t>
            </w:r>
          </w:p>
        </w:tc>
        <w:tc>
          <w:tcPr>
            <w:tcW w:w="2875"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化验室废液</w:t>
            </w:r>
          </w:p>
        </w:tc>
        <w:tc>
          <w:tcPr>
            <w:tcW w:w="2813"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生产、研究、开发、教学、环境检测（监测）活动中，化学和生物实验室（不包含感染性医学实验室及医疗机构化验室）产生的含氰、氟、重金属无机废液及无机废液处理产生的残渣、残液，含矿物油、有机溶剂、甲醛有机废液，废酸、废碱，具有危险特性的残留样品，以及沾染上述物质的一次性实验用品（不包括按实验室管理要求进行清洗后的废弃的烧杯、量器、漏斗等实验室用品）、包装物（不包括按实验室管理要求进行清洗后的试剂包装物、容器）、过滤吸附介质等</w:t>
            </w:r>
          </w:p>
        </w:tc>
        <w:tc>
          <w:tcPr>
            <w:tcW w:w="2359"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10</w:t>
            </w:r>
          </w:p>
        </w:tc>
        <w:tc>
          <w:tcPr>
            <w:tcW w:w="2297"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0.5</w:t>
            </w:r>
          </w:p>
        </w:tc>
        <w:tc>
          <w:tcPr>
            <w:tcW w:w="1328"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25" w:type="dxa"/>
            <w:vMerge w:val="continue"/>
            <w:vAlign w:val="center"/>
          </w:tcPr>
          <w:p>
            <w:pPr>
              <w:spacing w:before="68" w:line="220" w:lineRule="auto"/>
              <w:jc w:val="center"/>
              <w:rPr>
                <w:rFonts w:hint="eastAsia" w:ascii="黑体" w:hAnsi="黑体" w:eastAsia="黑体" w:cs="黑体"/>
                <w:b/>
                <w:bCs/>
                <w:spacing w:val="-3"/>
                <w:sz w:val="24"/>
                <w:szCs w:val="24"/>
                <w:vertAlign w:val="baseline"/>
              </w:rPr>
            </w:pPr>
          </w:p>
        </w:tc>
        <w:tc>
          <w:tcPr>
            <w:tcW w:w="1156"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14</w:t>
            </w:r>
          </w:p>
        </w:tc>
        <w:tc>
          <w:tcPr>
            <w:tcW w:w="2875"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结晶釜残</w:t>
            </w:r>
          </w:p>
        </w:tc>
        <w:tc>
          <w:tcPr>
            <w:tcW w:w="2813"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工业生产中作为清洗剂、萃取剂、溶剂或反应介质使用后废弃的有机溶剂，包括苯、苯乙烯、丁醇、丙酮、正己烷、甲苯、邻二甲苯、间二甲苯、对二甲苯、1,2,4-三甲苯、乙苯、乙醇、异丙醇、乙醚、丙醚、乙酸甲酯、乙酸乙酯、乙酸丁酯、丙酸丁酯、苯酚，以及在使用前混合的含有一种或多种上述溶剂的混合/调和溶剂</w:t>
            </w:r>
          </w:p>
        </w:tc>
        <w:tc>
          <w:tcPr>
            <w:tcW w:w="2359"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100</w:t>
            </w:r>
          </w:p>
        </w:tc>
        <w:tc>
          <w:tcPr>
            <w:tcW w:w="2297"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3</w:t>
            </w:r>
          </w:p>
        </w:tc>
        <w:tc>
          <w:tcPr>
            <w:tcW w:w="1328"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25" w:type="dxa"/>
            <w:vMerge w:val="continue"/>
            <w:vAlign w:val="center"/>
          </w:tcPr>
          <w:p>
            <w:pPr>
              <w:spacing w:before="68" w:line="220" w:lineRule="auto"/>
              <w:jc w:val="center"/>
              <w:rPr>
                <w:rFonts w:hint="eastAsia" w:ascii="黑体" w:hAnsi="黑体" w:eastAsia="黑体" w:cs="黑体"/>
                <w:b/>
                <w:bCs/>
                <w:spacing w:val="-3"/>
                <w:sz w:val="24"/>
                <w:szCs w:val="24"/>
                <w:vertAlign w:val="baseline"/>
              </w:rPr>
            </w:pPr>
          </w:p>
        </w:tc>
        <w:tc>
          <w:tcPr>
            <w:tcW w:w="1156"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15</w:t>
            </w:r>
          </w:p>
        </w:tc>
        <w:tc>
          <w:tcPr>
            <w:tcW w:w="2875"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压滤固废</w:t>
            </w:r>
          </w:p>
        </w:tc>
        <w:tc>
          <w:tcPr>
            <w:tcW w:w="2813"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有机溶剂生产过程中产生的废催化剂</w:t>
            </w:r>
          </w:p>
        </w:tc>
        <w:tc>
          <w:tcPr>
            <w:tcW w:w="2359"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60</w:t>
            </w:r>
          </w:p>
        </w:tc>
        <w:tc>
          <w:tcPr>
            <w:tcW w:w="2297"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5</w:t>
            </w:r>
          </w:p>
        </w:tc>
        <w:tc>
          <w:tcPr>
            <w:tcW w:w="1328"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25" w:type="dxa"/>
            <w:vMerge w:val="continue"/>
            <w:vAlign w:val="center"/>
          </w:tcPr>
          <w:p>
            <w:pPr>
              <w:spacing w:before="68" w:line="220" w:lineRule="auto"/>
              <w:jc w:val="center"/>
              <w:rPr>
                <w:rFonts w:hint="eastAsia" w:ascii="黑体" w:hAnsi="黑体" w:eastAsia="黑体" w:cs="黑体"/>
                <w:b/>
                <w:bCs/>
                <w:spacing w:val="-3"/>
                <w:sz w:val="24"/>
                <w:szCs w:val="24"/>
                <w:vertAlign w:val="baseline"/>
              </w:rPr>
            </w:pPr>
          </w:p>
        </w:tc>
        <w:tc>
          <w:tcPr>
            <w:tcW w:w="1156"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16</w:t>
            </w:r>
          </w:p>
        </w:tc>
        <w:tc>
          <w:tcPr>
            <w:tcW w:w="2875"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蒸馏釜残（硝基酚装置）</w:t>
            </w:r>
          </w:p>
        </w:tc>
        <w:tc>
          <w:tcPr>
            <w:tcW w:w="2813"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其他化工生产过程（不包括以生物质为主要原料的加工过程）中精馏、蒸馏和热解工艺产生的高沸点釜底残余物</w:t>
            </w:r>
          </w:p>
        </w:tc>
        <w:tc>
          <w:tcPr>
            <w:tcW w:w="2359"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100</w:t>
            </w:r>
          </w:p>
        </w:tc>
        <w:tc>
          <w:tcPr>
            <w:tcW w:w="2297"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3</w:t>
            </w:r>
          </w:p>
        </w:tc>
        <w:tc>
          <w:tcPr>
            <w:tcW w:w="1328"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25" w:type="dxa"/>
            <w:vMerge w:val="continue"/>
            <w:vAlign w:val="center"/>
          </w:tcPr>
          <w:p>
            <w:pPr>
              <w:spacing w:before="68" w:line="220" w:lineRule="auto"/>
              <w:jc w:val="center"/>
              <w:rPr>
                <w:rFonts w:hint="eastAsia" w:ascii="黑体" w:hAnsi="黑体" w:eastAsia="黑体" w:cs="黑体"/>
                <w:b/>
                <w:bCs/>
                <w:spacing w:val="-3"/>
                <w:sz w:val="24"/>
                <w:szCs w:val="24"/>
                <w:vertAlign w:val="baseline"/>
              </w:rPr>
            </w:pPr>
          </w:p>
        </w:tc>
        <w:tc>
          <w:tcPr>
            <w:tcW w:w="1156"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17</w:t>
            </w:r>
          </w:p>
        </w:tc>
        <w:tc>
          <w:tcPr>
            <w:tcW w:w="2875"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甲醚二次蒸馏焦油</w:t>
            </w:r>
          </w:p>
        </w:tc>
        <w:tc>
          <w:tcPr>
            <w:tcW w:w="2813"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其他化工生产过程（不包括以生物质为主要原料的加工过程）中精馏、蒸馏和热解工艺产生的高沸点釜底残余物</w:t>
            </w:r>
          </w:p>
        </w:tc>
        <w:tc>
          <w:tcPr>
            <w:tcW w:w="2359"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300</w:t>
            </w:r>
          </w:p>
        </w:tc>
        <w:tc>
          <w:tcPr>
            <w:tcW w:w="2297"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10</w:t>
            </w:r>
          </w:p>
        </w:tc>
        <w:tc>
          <w:tcPr>
            <w:tcW w:w="1328"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25" w:type="dxa"/>
            <w:vMerge w:val="continue"/>
            <w:vAlign w:val="center"/>
          </w:tcPr>
          <w:p>
            <w:pPr>
              <w:spacing w:before="68" w:line="220" w:lineRule="auto"/>
              <w:jc w:val="center"/>
              <w:rPr>
                <w:rFonts w:hint="eastAsia" w:ascii="黑体" w:hAnsi="黑体" w:eastAsia="黑体" w:cs="黑体"/>
                <w:b/>
                <w:bCs/>
                <w:spacing w:val="-3"/>
                <w:sz w:val="24"/>
                <w:szCs w:val="24"/>
                <w:vertAlign w:val="baseline"/>
              </w:rPr>
            </w:pPr>
          </w:p>
        </w:tc>
        <w:tc>
          <w:tcPr>
            <w:tcW w:w="1156"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18</w:t>
            </w:r>
          </w:p>
        </w:tc>
        <w:tc>
          <w:tcPr>
            <w:tcW w:w="2875"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高沸物</w:t>
            </w:r>
          </w:p>
        </w:tc>
        <w:tc>
          <w:tcPr>
            <w:tcW w:w="2813"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氯苯、二氯苯生产过程中的蒸馏及分馏残渣</w:t>
            </w:r>
          </w:p>
        </w:tc>
        <w:tc>
          <w:tcPr>
            <w:tcW w:w="2359"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100</w:t>
            </w:r>
          </w:p>
        </w:tc>
        <w:tc>
          <w:tcPr>
            <w:tcW w:w="2297"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5</w:t>
            </w:r>
          </w:p>
        </w:tc>
        <w:tc>
          <w:tcPr>
            <w:tcW w:w="1328"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25" w:type="dxa"/>
            <w:vMerge w:val="continue"/>
            <w:vAlign w:val="center"/>
          </w:tcPr>
          <w:p>
            <w:pPr>
              <w:spacing w:before="68" w:line="220" w:lineRule="auto"/>
              <w:jc w:val="center"/>
              <w:rPr>
                <w:rFonts w:hint="eastAsia" w:ascii="黑体" w:hAnsi="黑体" w:eastAsia="黑体" w:cs="黑体"/>
                <w:b/>
                <w:bCs/>
                <w:spacing w:val="-3"/>
                <w:sz w:val="24"/>
                <w:szCs w:val="24"/>
                <w:vertAlign w:val="baseline"/>
              </w:rPr>
            </w:pPr>
          </w:p>
        </w:tc>
        <w:tc>
          <w:tcPr>
            <w:tcW w:w="1156"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19</w:t>
            </w:r>
          </w:p>
        </w:tc>
        <w:tc>
          <w:tcPr>
            <w:tcW w:w="2875"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污泥</w:t>
            </w:r>
          </w:p>
        </w:tc>
        <w:tc>
          <w:tcPr>
            <w:tcW w:w="2813"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其他有机卤化物的生产过程（不包括卤化前的生产工段）中产生的残液、废过滤吸附介质、反应残余物、废水处理污泥（不包括环氧氯丙烷皂化液处理产生的石灰渣）、废催化剂（不包括本名录 HW04、HW06、HW11、HW12、HW13、HW39 类别的危险废物）</w:t>
            </w:r>
          </w:p>
        </w:tc>
        <w:tc>
          <w:tcPr>
            <w:tcW w:w="2359"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300</w:t>
            </w:r>
          </w:p>
        </w:tc>
        <w:tc>
          <w:tcPr>
            <w:tcW w:w="2297"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5</w:t>
            </w:r>
          </w:p>
        </w:tc>
        <w:tc>
          <w:tcPr>
            <w:tcW w:w="1328"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25" w:type="dxa"/>
            <w:vMerge w:val="continue"/>
            <w:vAlign w:val="center"/>
          </w:tcPr>
          <w:p>
            <w:pPr>
              <w:spacing w:before="68" w:line="220" w:lineRule="auto"/>
              <w:jc w:val="center"/>
              <w:rPr>
                <w:rFonts w:hint="eastAsia" w:ascii="黑体" w:hAnsi="黑体" w:eastAsia="黑体" w:cs="黑体"/>
                <w:b/>
                <w:bCs/>
                <w:spacing w:val="-3"/>
                <w:sz w:val="24"/>
                <w:szCs w:val="24"/>
                <w:vertAlign w:val="baseline"/>
              </w:rPr>
            </w:pPr>
          </w:p>
        </w:tc>
        <w:tc>
          <w:tcPr>
            <w:tcW w:w="1156"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20</w:t>
            </w:r>
          </w:p>
        </w:tc>
        <w:tc>
          <w:tcPr>
            <w:tcW w:w="2875"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废活性炭/抽滤废渣</w:t>
            </w:r>
          </w:p>
        </w:tc>
        <w:tc>
          <w:tcPr>
            <w:tcW w:w="2813"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烟气、VOCs治理过程（不包括餐饮行业油烟治理过程）产生的废活性炭，化学原料和化学制品脱色（不包括有机合成食品添加剂脱色）、除杂、净化过程产生的废活性炭（不包括900-405-06、772-005-18、261-053-29、265-002-29、384-003-29、387-001-29类危险废物）</w:t>
            </w:r>
          </w:p>
        </w:tc>
        <w:tc>
          <w:tcPr>
            <w:tcW w:w="2359"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200</w:t>
            </w:r>
          </w:p>
        </w:tc>
        <w:tc>
          <w:tcPr>
            <w:tcW w:w="2297"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5</w:t>
            </w:r>
          </w:p>
        </w:tc>
        <w:tc>
          <w:tcPr>
            <w:tcW w:w="1328"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25" w:type="dxa"/>
            <w:vMerge w:val="continue"/>
            <w:vAlign w:val="center"/>
          </w:tcPr>
          <w:p>
            <w:pPr>
              <w:spacing w:before="68" w:line="220" w:lineRule="auto"/>
              <w:jc w:val="center"/>
              <w:rPr>
                <w:rFonts w:hint="eastAsia" w:ascii="黑体" w:hAnsi="黑体" w:eastAsia="黑体" w:cs="黑体"/>
                <w:b/>
                <w:bCs/>
                <w:spacing w:val="-3"/>
                <w:sz w:val="24"/>
                <w:szCs w:val="24"/>
                <w:vertAlign w:val="baseline"/>
              </w:rPr>
            </w:pPr>
          </w:p>
        </w:tc>
        <w:tc>
          <w:tcPr>
            <w:tcW w:w="1156"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21</w:t>
            </w:r>
          </w:p>
        </w:tc>
        <w:tc>
          <w:tcPr>
            <w:tcW w:w="2875"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废矿物油</w:t>
            </w:r>
          </w:p>
        </w:tc>
        <w:tc>
          <w:tcPr>
            <w:tcW w:w="2813"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使用工业齿轮油进行机械设备润滑过程中产生的废润滑油</w:t>
            </w:r>
          </w:p>
        </w:tc>
        <w:tc>
          <w:tcPr>
            <w:tcW w:w="2359"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30</w:t>
            </w:r>
          </w:p>
        </w:tc>
        <w:tc>
          <w:tcPr>
            <w:tcW w:w="2297"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1</w:t>
            </w:r>
          </w:p>
        </w:tc>
        <w:tc>
          <w:tcPr>
            <w:tcW w:w="1328"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25" w:type="dxa"/>
            <w:vMerge w:val="continue"/>
            <w:vAlign w:val="center"/>
          </w:tcPr>
          <w:p>
            <w:pPr>
              <w:spacing w:before="68" w:line="220" w:lineRule="auto"/>
              <w:jc w:val="center"/>
              <w:rPr>
                <w:rFonts w:hint="eastAsia" w:ascii="黑体" w:hAnsi="黑体" w:eastAsia="黑体" w:cs="黑体"/>
                <w:b/>
                <w:bCs/>
                <w:spacing w:val="-3"/>
                <w:sz w:val="24"/>
                <w:szCs w:val="24"/>
                <w:vertAlign w:val="baseline"/>
              </w:rPr>
            </w:pPr>
          </w:p>
        </w:tc>
        <w:tc>
          <w:tcPr>
            <w:tcW w:w="1156" w:type="dxa"/>
            <w:vAlign w:val="center"/>
          </w:tcPr>
          <w:p>
            <w:pPr>
              <w:spacing w:before="68" w:line="220" w:lineRule="auto"/>
              <w:jc w:val="center"/>
              <w:rPr>
                <w:rFonts w:hint="eastAsia" w:asciiTheme="minorEastAsia" w:hAnsiTheme="minorEastAsia" w:eastAsiaTheme="minorEastAsia" w:cstheme="minorEastAsia"/>
                <w:spacing w:val="-3"/>
                <w:sz w:val="21"/>
                <w:szCs w:val="21"/>
                <w:vertAlign w:val="baseline"/>
              </w:rPr>
            </w:pPr>
          </w:p>
        </w:tc>
        <w:tc>
          <w:tcPr>
            <w:tcW w:w="2875" w:type="dxa"/>
            <w:vAlign w:val="center"/>
          </w:tcPr>
          <w:p>
            <w:pPr>
              <w:spacing w:before="68" w:line="220" w:lineRule="auto"/>
              <w:jc w:val="center"/>
              <w:rPr>
                <w:rFonts w:hint="eastAsia" w:asciiTheme="minorEastAsia" w:hAnsiTheme="minorEastAsia" w:eastAsiaTheme="minorEastAsia" w:cstheme="minorEastAsia"/>
                <w:spacing w:val="-3"/>
                <w:sz w:val="21"/>
                <w:szCs w:val="21"/>
                <w:vertAlign w:val="baseline"/>
              </w:rPr>
            </w:pPr>
          </w:p>
        </w:tc>
        <w:tc>
          <w:tcPr>
            <w:tcW w:w="2813" w:type="dxa"/>
            <w:vAlign w:val="center"/>
          </w:tcPr>
          <w:p>
            <w:pPr>
              <w:spacing w:before="68" w:line="220" w:lineRule="auto"/>
              <w:jc w:val="center"/>
              <w:rPr>
                <w:rFonts w:hint="eastAsia" w:asciiTheme="minorEastAsia" w:hAnsiTheme="minorEastAsia" w:eastAsiaTheme="minorEastAsia" w:cstheme="minorEastAsia"/>
                <w:spacing w:val="-3"/>
                <w:sz w:val="21"/>
                <w:szCs w:val="21"/>
                <w:vertAlign w:val="baseline"/>
              </w:rPr>
            </w:pPr>
          </w:p>
        </w:tc>
        <w:tc>
          <w:tcPr>
            <w:tcW w:w="2359" w:type="dxa"/>
            <w:vAlign w:val="center"/>
          </w:tcPr>
          <w:p>
            <w:pPr>
              <w:spacing w:before="68" w:line="220" w:lineRule="auto"/>
              <w:jc w:val="center"/>
              <w:rPr>
                <w:rFonts w:hint="eastAsia" w:asciiTheme="minorEastAsia" w:hAnsiTheme="minorEastAsia" w:eastAsiaTheme="minorEastAsia" w:cstheme="minorEastAsia"/>
                <w:spacing w:val="-3"/>
                <w:sz w:val="21"/>
                <w:szCs w:val="21"/>
                <w:vertAlign w:val="baseline"/>
              </w:rPr>
            </w:pPr>
          </w:p>
        </w:tc>
        <w:tc>
          <w:tcPr>
            <w:tcW w:w="2297" w:type="dxa"/>
            <w:vAlign w:val="center"/>
          </w:tcPr>
          <w:p>
            <w:pPr>
              <w:spacing w:before="68" w:line="220" w:lineRule="auto"/>
              <w:jc w:val="center"/>
              <w:rPr>
                <w:rFonts w:hint="eastAsia" w:asciiTheme="minorEastAsia" w:hAnsiTheme="minorEastAsia" w:eastAsiaTheme="minorEastAsia" w:cstheme="minorEastAsia"/>
                <w:spacing w:val="-3"/>
                <w:sz w:val="21"/>
                <w:szCs w:val="21"/>
                <w:vertAlign w:val="baseline"/>
              </w:rPr>
            </w:pPr>
          </w:p>
        </w:tc>
        <w:tc>
          <w:tcPr>
            <w:tcW w:w="1328" w:type="dxa"/>
            <w:vAlign w:val="center"/>
          </w:tcPr>
          <w:p>
            <w:pPr>
              <w:spacing w:before="68" w:line="220" w:lineRule="auto"/>
              <w:jc w:val="center"/>
              <w:rPr>
                <w:rFonts w:hint="eastAsia" w:asciiTheme="minorEastAsia" w:hAnsiTheme="minorEastAsia" w:eastAsiaTheme="minorEastAsia" w:cstheme="minorEastAsia"/>
                <w:spacing w:val="-3"/>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125" w:type="dxa"/>
            <w:vMerge w:val="continue"/>
            <w:vAlign w:val="center"/>
          </w:tcPr>
          <w:p>
            <w:pPr>
              <w:spacing w:before="68" w:line="220" w:lineRule="auto"/>
              <w:jc w:val="center"/>
              <w:rPr>
                <w:rFonts w:hint="eastAsia" w:ascii="黑体" w:hAnsi="黑体" w:eastAsia="黑体" w:cs="黑体"/>
                <w:b/>
                <w:bCs/>
                <w:spacing w:val="-3"/>
                <w:sz w:val="24"/>
                <w:szCs w:val="24"/>
                <w:vertAlign w:val="baseline"/>
              </w:rPr>
            </w:pPr>
          </w:p>
        </w:tc>
        <w:tc>
          <w:tcPr>
            <w:tcW w:w="6844" w:type="dxa"/>
            <w:gridSpan w:val="3"/>
            <w:vAlign w:val="center"/>
          </w:tcPr>
          <w:p>
            <w:pPr>
              <w:spacing w:before="68" w:line="220" w:lineRule="auto"/>
              <w:jc w:val="center"/>
              <w:rPr>
                <w:rFonts w:hint="eastAsia"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合计</w:t>
            </w:r>
          </w:p>
        </w:tc>
        <w:tc>
          <w:tcPr>
            <w:tcW w:w="2359"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11740</w:t>
            </w:r>
          </w:p>
        </w:tc>
        <w:tc>
          <w:tcPr>
            <w:tcW w:w="2297"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111.5</w:t>
            </w:r>
          </w:p>
        </w:tc>
        <w:tc>
          <w:tcPr>
            <w:tcW w:w="1328"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2" w:hRule="atLeast"/>
        </w:trPr>
        <w:tc>
          <w:tcPr>
            <w:tcW w:w="1125" w:type="dxa"/>
            <w:vAlign w:val="center"/>
          </w:tcPr>
          <w:p>
            <w:pPr>
              <w:spacing w:before="68" w:line="220" w:lineRule="auto"/>
              <w:jc w:val="center"/>
              <w:rPr>
                <w:rFonts w:hint="eastAsia" w:ascii="黑体" w:hAnsi="黑体" w:eastAsia="黑体" w:cs="黑体"/>
                <w:b/>
                <w:bCs/>
                <w:spacing w:val="-3"/>
                <w:sz w:val="24"/>
                <w:szCs w:val="24"/>
                <w:vertAlign w:val="baseline"/>
                <w:lang w:val="en-US" w:eastAsia="zh-CN"/>
              </w:rPr>
            </w:pPr>
            <w:r>
              <w:rPr>
                <w:rFonts w:hint="eastAsia" w:ascii="黑体" w:hAnsi="黑体" w:eastAsia="黑体" w:cs="黑体"/>
                <w:b/>
                <w:bCs/>
                <w:spacing w:val="-3"/>
                <w:sz w:val="24"/>
                <w:szCs w:val="24"/>
                <w:vertAlign w:val="baseline"/>
                <w:lang w:val="en-US" w:eastAsia="zh-CN"/>
              </w:rPr>
              <w:t>降低危险废物危害性的计划</w:t>
            </w:r>
          </w:p>
        </w:tc>
        <w:tc>
          <w:tcPr>
            <w:tcW w:w="12828" w:type="dxa"/>
            <w:gridSpan w:val="6"/>
          </w:tcPr>
          <w:p>
            <w:pPr>
              <w:spacing w:before="68" w:line="220" w:lineRule="auto"/>
              <w:jc w:val="both"/>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采用清洁无毒无害或低毒低害的能源、易于降解、便于回收利用的材料计划。加强产物环节和贮存环节的管理控制，贮存间根据危废类型区域化，地面作渗漏处理，装桶和转运环节要求操作人员按照要求佩戴劳动防护用品减少危险废物危害，当贮存量将达到和危废贮存较多时，通知有资质的单位进行处置或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6" w:hRule="atLeast"/>
        </w:trPr>
        <w:tc>
          <w:tcPr>
            <w:tcW w:w="1125" w:type="dxa"/>
            <w:vAlign w:val="center"/>
          </w:tcPr>
          <w:p>
            <w:pPr>
              <w:spacing w:before="68" w:line="220" w:lineRule="auto"/>
              <w:jc w:val="center"/>
              <w:rPr>
                <w:rFonts w:hint="eastAsia" w:ascii="黑体" w:hAnsi="黑体" w:eastAsia="黑体" w:cs="黑体"/>
                <w:b/>
                <w:bCs/>
                <w:spacing w:val="-3"/>
                <w:sz w:val="24"/>
                <w:szCs w:val="24"/>
                <w:vertAlign w:val="baseline"/>
                <w:lang w:val="en-US" w:eastAsia="zh-CN"/>
              </w:rPr>
            </w:pPr>
            <w:r>
              <w:rPr>
                <w:rFonts w:hint="eastAsia" w:ascii="黑体" w:hAnsi="黑体" w:eastAsia="黑体" w:cs="黑体"/>
                <w:b/>
                <w:bCs/>
                <w:spacing w:val="-3"/>
                <w:sz w:val="24"/>
                <w:szCs w:val="24"/>
                <w:vertAlign w:val="baseline"/>
                <w:lang w:val="en-US" w:eastAsia="zh-CN"/>
              </w:rPr>
              <w:t>减少危险废物产生量和降低危害性的措施</w:t>
            </w:r>
          </w:p>
        </w:tc>
        <w:tc>
          <w:tcPr>
            <w:tcW w:w="12828" w:type="dxa"/>
            <w:gridSpan w:val="6"/>
          </w:tcPr>
          <w:p>
            <w:pPr>
              <w:spacing w:before="68" w:line="220" w:lineRule="auto"/>
              <w:jc w:val="both"/>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研发中心不断研究生产工艺，通过调整工艺指标、淘汰老旧设备、改善管理、提高原料的利用，源头控制，减少蒸馏、精馏环节塔釜副产物的产出。采用能够达到国家规定的污染物排放标准和污染物排放总量控制指标的污染防治技术的措施。</w:t>
            </w:r>
          </w:p>
        </w:tc>
      </w:tr>
    </w:tbl>
    <w:p>
      <w:pPr>
        <w:tabs>
          <w:tab w:val="left" w:pos="11402"/>
        </w:tabs>
        <w:rPr>
          <w:rFonts w:hint="default"/>
          <w:lang w:val="en-US" w:eastAsia="zh-CN"/>
        </w:rPr>
        <w:sectPr>
          <w:pgSz w:w="16838" w:h="11906" w:orient="landscape"/>
          <w:pgMar w:top="1803" w:right="1440" w:bottom="1803" w:left="1440" w:header="851" w:footer="992" w:gutter="0"/>
          <w:cols w:space="0" w:num="1"/>
          <w:rtlGutter w:val="0"/>
          <w:docGrid w:type="lines" w:linePitch="312" w:charSpace="0"/>
        </w:sectPr>
      </w:pPr>
    </w:p>
    <w:p>
      <w:pPr>
        <w:spacing w:before="68" w:line="220" w:lineRule="auto"/>
        <w:rPr>
          <w:rFonts w:hint="eastAsia"/>
          <w:sz w:val="13"/>
          <w:szCs w:val="13"/>
          <w:lang w:val="en-US" w:eastAsia="zh-CN"/>
        </w:rPr>
      </w:pPr>
      <w:r>
        <w:rPr>
          <w:sz w:val="13"/>
          <w:szCs w:val="13"/>
        </w:rPr>
        <w:fldChar w:fldCharType="begin"/>
      </w:r>
      <w:r>
        <w:rPr>
          <w:sz w:val="13"/>
          <w:szCs w:val="13"/>
        </w:rPr>
        <w:instrText xml:space="preserve"> MERGEFIELD  TableStart:table1  \* MERGEFORMAT </w:instrText>
      </w:r>
      <w:r>
        <w:rPr>
          <w:sz w:val="13"/>
          <w:szCs w:val="13"/>
        </w:rPr>
        <w:fldChar w:fldCharType="separate"/>
      </w:r>
      <w:r>
        <w:rPr>
          <w:rFonts w:hint="eastAsia"/>
          <w:sz w:val="13"/>
          <w:szCs w:val="13"/>
          <w:lang w:val="en-US" w:eastAsia="zh-CN"/>
        </w:rPr>
        <w:t/>
      </w:r>
      <w:r>
        <w:rPr>
          <w:sz w:val="13"/>
          <w:szCs w:val="13"/>
        </w:rPr>
        <w:fldChar w:fldCharType="end"/>
      </w:r>
      <w:r>
        <w:rPr>
          <w:rFonts w:hint="eastAsia"/>
          <w:sz w:val="13"/>
          <w:szCs w:val="13"/>
          <w:lang w:val="en-US" w:eastAsia="zh-CN"/>
        </w:rPr>
        <w:t xml:space="preserve">                                    </w:t>
      </w:r>
    </w:p>
    <w:p>
      <w:pPr>
        <w:spacing w:before="68" w:line="220" w:lineRule="auto"/>
        <w:ind w:firstLine="4320" w:firstLineChars="1500"/>
        <w:rPr>
          <w:rFonts w:ascii="黑体" w:hAnsi="黑体" w:eastAsia="黑体" w:cs="黑体"/>
          <w:spacing w:val="-3"/>
          <w:sz w:val="30"/>
          <w:szCs w:val="30"/>
        </w:rPr>
      </w:pPr>
      <w:r>
        <w:rPr>
          <w:rFonts w:ascii="黑体" w:hAnsi="黑体" w:eastAsia="黑体" w:cs="黑体"/>
          <w:spacing w:val="-6"/>
          <w:sz w:val="30"/>
          <w:szCs w:val="30"/>
        </w:rPr>
        <w:t xml:space="preserve">表 </w:t>
      </w:r>
      <w:r>
        <w:rPr>
          <w:rFonts w:hint="eastAsia" w:ascii="黑体" w:hAnsi="黑体" w:eastAsia="黑体" w:cs="黑体"/>
          <w:spacing w:val="-6"/>
          <w:sz w:val="30"/>
          <w:szCs w:val="30"/>
          <w:lang w:val="en-US" w:eastAsia="zh-CN"/>
        </w:rPr>
        <w:t>8</w:t>
      </w:r>
      <w:r>
        <w:rPr>
          <w:rFonts w:ascii="黑体" w:hAnsi="黑体" w:eastAsia="黑体" w:cs="黑体"/>
          <w:spacing w:val="-3"/>
          <w:sz w:val="30"/>
          <w:szCs w:val="30"/>
        </w:rPr>
        <w:t xml:space="preserve">  危险废物转移情况信息表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722"/>
        <w:gridCol w:w="981"/>
        <w:gridCol w:w="977"/>
        <w:gridCol w:w="722"/>
        <w:gridCol w:w="722"/>
        <w:gridCol w:w="722"/>
        <w:gridCol w:w="722"/>
        <w:gridCol w:w="1114"/>
        <w:gridCol w:w="724"/>
        <w:gridCol w:w="944"/>
        <w:gridCol w:w="880"/>
        <w:gridCol w:w="1306"/>
        <w:gridCol w:w="1319"/>
        <w:gridCol w:w="1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trPr>
        <w:tc>
          <w:tcPr>
            <w:tcW w:w="722" w:type="dxa"/>
            <w:vMerge w:val="restart"/>
            <w:vAlign w:val="center"/>
          </w:tcPr>
          <w:p>
            <w:pPr>
              <w:spacing w:before="68" w:line="220" w:lineRule="auto"/>
              <w:jc w:val="center"/>
              <w:rPr>
                <w:rFonts w:hint="eastAsia" w:ascii="黑体" w:hAnsi="黑体" w:eastAsia="黑体" w:cs="黑体"/>
                <w:b/>
                <w:bCs/>
                <w:spacing w:val="-3"/>
                <w:sz w:val="24"/>
                <w:szCs w:val="24"/>
                <w:vertAlign w:val="baseline"/>
                <w:lang w:val="en-US" w:eastAsia="zh-CN"/>
              </w:rPr>
            </w:pPr>
            <w:r>
              <w:rPr>
                <w:rFonts w:hint="eastAsia" w:ascii="黑体" w:hAnsi="黑体" w:eastAsia="黑体" w:cs="黑体"/>
                <w:b/>
                <w:bCs/>
                <w:spacing w:val="-3"/>
                <w:sz w:val="24"/>
                <w:szCs w:val="24"/>
                <w:vertAlign w:val="baseline"/>
                <w:lang w:val="en-US" w:eastAsia="zh-CN"/>
              </w:rPr>
              <w:t>序号</w:t>
            </w:r>
          </w:p>
        </w:tc>
        <w:tc>
          <w:tcPr>
            <w:tcW w:w="722" w:type="dxa"/>
            <w:vMerge w:val="restart"/>
            <w:vAlign w:val="center"/>
          </w:tcPr>
          <w:p>
            <w:pPr>
              <w:spacing w:before="68" w:line="220" w:lineRule="auto"/>
              <w:jc w:val="center"/>
              <w:rPr>
                <w:rFonts w:hint="eastAsia" w:ascii="黑体" w:hAnsi="黑体" w:eastAsia="黑体" w:cs="黑体"/>
                <w:b/>
                <w:bCs/>
                <w:spacing w:val="-3"/>
                <w:sz w:val="24"/>
                <w:szCs w:val="24"/>
                <w:vertAlign w:val="baseline"/>
                <w:lang w:val="en-US" w:eastAsia="zh-CN"/>
              </w:rPr>
            </w:pPr>
            <w:r>
              <w:rPr>
                <w:rFonts w:hint="eastAsia" w:ascii="黑体" w:hAnsi="黑体" w:eastAsia="黑体" w:cs="黑体"/>
                <w:b/>
                <w:bCs/>
                <w:spacing w:val="-3"/>
                <w:sz w:val="24"/>
                <w:szCs w:val="24"/>
                <w:vertAlign w:val="baseline"/>
                <w:lang w:val="en-US" w:eastAsia="zh-CN"/>
              </w:rPr>
              <w:t>转移类型</w:t>
            </w:r>
          </w:p>
        </w:tc>
        <w:tc>
          <w:tcPr>
            <w:tcW w:w="1958" w:type="dxa"/>
            <w:gridSpan w:val="2"/>
            <w:vAlign w:val="center"/>
          </w:tcPr>
          <w:p>
            <w:pPr>
              <w:spacing w:before="68" w:line="220" w:lineRule="auto"/>
              <w:jc w:val="center"/>
              <w:rPr>
                <w:rFonts w:hint="eastAsia" w:ascii="黑体" w:hAnsi="黑体" w:eastAsia="黑体" w:cs="黑体"/>
                <w:b/>
                <w:bCs/>
                <w:spacing w:val="-3"/>
                <w:sz w:val="24"/>
                <w:szCs w:val="24"/>
                <w:vertAlign w:val="baseline"/>
                <w:lang w:val="en-US" w:eastAsia="zh-CN"/>
              </w:rPr>
            </w:pPr>
            <w:r>
              <w:rPr>
                <w:rFonts w:hint="eastAsia" w:ascii="黑体" w:hAnsi="黑体" w:eastAsia="黑体" w:cs="黑体"/>
                <w:b/>
                <w:bCs/>
                <w:spacing w:val="-3"/>
                <w:sz w:val="24"/>
                <w:szCs w:val="24"/>
                <w:vertAlign w:val="baseline"/>
                <w:lang w:val="en-US" w:eastAsia="zh-CN"/>
              </w:rPr>
              <w:t>危险废物名称</w:t>
            </w:r>
          </w:p>
        </w:tc>
        <w:tc>
          <w:tcPr>
            <w:tcW w:w="722" w:type="dxa"/>
            <w:vMerge w:val="restart"/>
            <w:vAlign w:val="center"/>
          </w:tcPr>
          <w:p>
            <w:pPr>
              <w:spacing w:before="68" w:line="220" w:lineRule="auto"/>
              <w:jc w:val="center"/>
              <w:rPr>
                <w:rFonts w:hint="eastAsia" w:ascii="黑体" w:hAnsi="黑体" w:eastAsia="黑体" w:cs="黑体"/>
                <w:b/>
                <w:bCs/>
                <w:spacing w:val="-3"/>
                <w:sz w:val="24"/>
                <w:szCs w:val="24"/>
                <w:vertAlign w:val="baseline"/>
                <w:lang w:val="en-US" w:eastAsia="zh-CN"/>
              </w:rPr>
            </w:pPr>
            <w:r>
              <w:rPr>
                <w:rFonts w:hint="eastAsia" w:ascii="黑体" w:hAnsi="黑体" w:eastAsia="黑体" w:cs="黑体"/>
                <w:b/>
                <w:bCs/>
                <w:spacing w:val="-3"/>
                <w:sz w:val="24"/>
                <w:szCs w:val="24"/>
                <w:vertAlign w:val="baseline"/>
                <w:lang w:val="en-US" w:eastAsia="zh-CN"/>
              </w:rPr>
              <w:t>危险废物类别</w:t>
            </w:r>
          </w:p>
        </w:tc>
        <w:tc>
          <w:tcPr>
            <w:tcW w:w="722" w:type="dxa"/>
            <w:vMerge w:val="restart"/>
            <w:vAlign w:val="center"/>
          </w:tcPr>
          <w:p>
            <w:pPr>
              <w:spacing w:before="68" w:line="220" w:lineRule="auto"/>
              <w:jc w:val="center"/>
              <w:rPr>
                <w:rFonts w:hint="eastAsia" w:ascii="黑体" w:hAnsi="黑体" w:eastAsia="黑体" w:cs="黑体"/>
                <w:b/>
                <w:bCs/>
                <w:spacing w:val="-3"/>
                <w:sz w:val="24"/>
                <w:szCs w:val="24"/>
                <w:vertAlign w:val="baseline"/>
                <w:lang w:val="en-US" w:eastAsia="zh-CN"/>
              </w:rPr>
            </w:pPr>
            <w:r>
              <w:rPr>
                <w:rFonts w:hint="eastAsia" w:ascii="黑体" w:hAnsi="黑体" w:eastAsia="黑体" w:cs="黑体"/>
                <w:b/>
                <w:bCs/>
                <w:spacing w:val="-3"/>
                <w:sz w:val="24"/>
                <w:szCs w:val="24"/>
                <w:vertAlign w:val="baseline"/>
                <w:lang w:val="en-US" w:eastAsia="zh-CN"/>
              </w:rPr>
              <w:t>危险废物</w:t>
            </w:r>
          </w:p>
          <w:p>
            <w:pPr>
              <w:spacing w:before="68" w:line="220" w:lineRule="auto"/>
              <w:jc w:val="center"/>
              <w:rPr>
                <w:rFonts w:hint="eastAsia" w:ascii="黑体" w:hAnsi="黑体" w:eastAsia="黑体" w:cs="黑体"/>
                <w:b/>
                <w:bCs/>
                <w:spacing w:val="-3"/>
                <w:sz w:val="24"/>
                <w:szCs w:val="24"/>
                <w:vertAlign w:val="baseline"/>
                <w:lang w:val="en-US" w:eastAsia="zh-CN"/>
              </w:rPr>
            </w:pPr>
            <w:r>
              <w:rPr>
                <w:rFonts w:hint="eastAsia" w:ascii="黑体" w:hAnsi="黑体" w:eastAsia="黑体" w:cs="黑体"/>
                <w:b/>
                <w:bCs/>
                <w:spacing w:val="-3"/>
                <w:sz w:val="24"/>
                <w:szCs w:val="24"/>
                <w:vertAlign w:val="baseline"/>
                <w:lang w:val="en-US" w:eastAsia="zh-CN"/>
              </w:rPr>
              <w:t>代码</w:t>
            </w:r>
          </w:p>
        </w:tc>
        <w:tc>
          <w:tcPr>
            <w:tcW w:w="722" w:type="dxa"/>
            <w:vMerge w:val="restart"/>
            <w:vAlign w:val="center"/>
          </w:tcPr>
          <w:p>
            <w:pPr>
              <w:spacing w:before="68" w:line="220" w:lineRule="auto"/>
              <w:jc w:val="center"/>
              <w:rPr>
                <w:rFonts w:hint="eastAsia" w:ascii="黑体" w:hAnsi="黑体" w:eastAsia="黑体" w:cs="黑体"/>
                <w:b/>
                <w:bCs/>
                <w:spacing w:val="-3"/>
                <w:sz w:val="24"/>
                <w:szCs w:val="24"/>
                <w:vertAlign w:val="baseline"/>
                <w:lang w:val="en-US" w:eastAsia="zh-CN"/>
              </w:rPr>
            </w:pPr>
            <w:r>
              <w:rPr>
                <w:rFonts w:hint="eastAsia" w:ascii="黑体" w:hAnsi="黑体" w:eastAsia="黑体" w:cs="黑体"/>
                <w:b/>
                <w:bCs/>
                <w:spacing w:val="-3"/>
                <w:sz w:val="24"/>
                <w:szCs w:val="24"/>
                <w:vertAlign w:val="baseline"/>
                <w:lang w:val="en-US" w:eastAsia="zh-CN"/>
              </w:rPr>
              <w:t>有害物质成分</w:t>
            </w:r>
          </w:p>
        </w:tc>
        <w:tc>
          <w:tcPr>
            <w:tcW w:w="722" w:type="dxa"/>
            <w:vMerge w:val="restart"/>
            <w:vAlign w:val="center"/>
          </w:tcPr>
          <w:p>
            <w:pPr>
              <w:spacing w:before="68" w:line="220" w:lineRule="auto"/>
              <w:jc w:val="center"/>
              <w:rPr>
                <w:rFonts w:hint="eastAsia" w:ascii="黑体" w:hAnsi="黑体" w:eastAsia="黑体" w:cs="黑体"/>
                <w:b/>
                <w:bCs/>
                <w:spacing w:val="-3"/>
                <w:sz w:val="24"/>
                <w:szCs w:val="24"/>
                <w:vertAlign w:val="baseline"/>
                <w:lang w:val="en-US" w:eastAsia="zh-CN"/>
              </w:rPr>
            </w:pPr>
            <w:r>
              <w:rPr>
                <w:rFonts w:hint="eastAsia" w:ascii="黑体" w:hAnsi="黑体" w:eastAsia="黑体" w:cs="黑体"/>
                <w:b/>
                <w:bCs/>
                <w:spacing w:val="-3"/>
                <w:sz w:val="24"/>
                <w:szCs w:val="24"/>
                <w:vertAlign w:val="baseline"/>
                <w:lang w:val="en-US" w:eastAsia="zh-CN"/>
              </w:rPr>
              <w:t>形态</w:t>
            </w:r>
          </w:p>
        </w:tc>
        <w:tc>
          <w:tcPr>
            <w:tcW w:w="1114" w:type="dxa"/>
            <w:vMerge w:val="restart"/>
            <w:vAlign w:val="center"/>
          </w:tcPr>
          <w:p>
            <w:pPr>
              <w:spacing w:before="68" w:line="220" w:lineRule="auto"/>
              <w:jc w:val="center"/>
              <w:rPr>
                <w:rFonts w:hint="eastAsia" w:ascii="黑体" w:hAnsi="黑体" w:eastAsia="黑体" w:cs="黑体"/>
                <w:b/>
                <w:bCs/>
                <w:spacing w:val="-3"/>
                <w:sz w:val="24"/>
                <w:szCs w:val="24"/>
                <w:vertAlign w:val="baseline"/>
                <w:lang w:val="en-US" w:eastAsia="zh-CN"/>
              </w:rPr>
            </w:pPr>
            <w:r>
              <w:rPr>
                <w:rFonts w:hint="eastAsia" w:ascii="黑体" w:hAnsi="黑体" w:eastAsia="黑体" w:cs="黑体"/>
                <w:b/>
                <w:bCs/>
                <w:spacing w:val="-3"/>
                <w:sz w:val="24"/>
                <w:szCs w:val="24"/>
                <w:vertAlign w:val="baseline"/>
                <w:lang w:val="en-US" w:eastAsia="zh-CN"/>
              </w:rPr>
              <w:t>危险特性</w:t>
            </w:r>
          </w:p>
        </w:tc>
        <w:tc>
          <w:tcPr>
            <w:tcW w:w="724" w:type="dxa"/>
            <w:vMerge w:val="restart"/>
            <w:vAlign w:val="center"/>
          </w:tcPr>
          <w:p>
            <w:pPr>
              <w:spacing w:before="68" w:line="220" w:lineRule="auto"/>
              <w:jc w:val="center"/>
              <w:rPr>
                <w:rFonts w:hint="eastAsia" w:ascii="黑体" w:hAnsi="黑体" w:eastAsia="黑体" w:cs="黑体"/>
                <w:b/>
                <w:bCs/>
                <w:spacing w:val="-3"/>
                <w:sz w:val="24"/>
                <w:szCs w:val="24"/>
                <w:vertAlign w:val="baseline"/>
                <w:lang w:val="en-US" w:eastAsia="zh-CN"/>
              </w:rPr>
            </w:pPr>
            <w:r>
              <w:rPr>
                <w:rFonts w:hint="eastAsia" w:ascii="黑体" w:hAnsi="黑体" w:eastAsia="黑体" w:cs="黑体"/>
                <w:b/>
                <w:bCs/>
                <w:spacing w:val="-3"/>
                <w:sz w:val="24"/>
                <w:szCs w:val="24"/>
                <w:vertAlign w:val="baseline"/>
                <w:lang w:val="en-US" w:eastAsia="zh-CN"/>
              </w:rPr>
              <w:t>本年度预计转移量</w:t>
            </w:r>
          </w:p>
        </w:tc>
        <w:tc>
          <w:tcPr>
            <w:tcW w:w="944" w:type="dxa"/>
            <w:vMerge w:val="restart"/>
            <w:vAlign w:val="center"/>
          </w:tcPr>
          <w:p>
            <w:pPr>
              <w:spacing w:before="68" w:line="220" w:lineRule="auto"/>
              <w:jc w:val="center"/>
              <w:rPr>
                <w:rFonts w:hint="eastAsia" w:ascii="黑体" w:hAnsi="黑体" w:eastAsia="黑体" w:cs="黑体"/>
                <w:b/>
                <w:bCs/>
                <w:spacing w:val="-3"/>
                <w:sz w:val="24"/>
                <w:szCs w:val="24"/>
                <w:vertAlign w:val="baseline"/>
                <w:lang w:val="en-US" w:eastAsia="zh-CN"/>
              </w:rPr>
            </w:pPr>
            <w:r>
              <w:rPr>
                <w:rFonts w:hint="eastAsia" w:ascii="黑体" w:hAnsi="黑体" w:eastAsia="黑体" w:cs="黑体"/>
                <w:b/>
                <w:bCs/>
                <w:spacing w:val="-3"/>
                <w:sz w:val="24"/>
                <w:szCs w:val="24"/>
                <w:vertAlign w:val="baseline"/>
                <w:lang w:val="en-US" w:eastAsia="zh-CN"/>
              </w:rPr>
              <w:t>计量单位</w:t>
            </w:r>
          </w:p>
        </w:tc>
        <w:tc>
          <w:tcPr>
            <w:tcW w:w="880" w:type="dxa"/>
            <w:vMerge w:val="restart"/>
            <w:vAlign w:val="center"/>
          </w:tcPr>
          <w:p>
            <w:pPr>
              <w:spacing w:before="68" w:line="220" w:lineRule="auto"/>
              <w:jc w:val="center"/>
              <w:rPr>
                <w:rFonts w:hint="eastAsia" w:ascii="黑体" w:hAnsi="黑体" w:eastAsia="黑体" w:cs="黑体"/>
                <w:b/>
                <w:bCs/>
                <w:spacing w:val="-3"/>
                <w:sz w:val="24"/>
                <w:szCs w:val="24"/>
                <w:vertAlign w:val="baseline"/>
                <w:lang w:val="en-US" w:eastAsia="zh-CN"/>
              </w:rPr>
            </w:pPr>
            <w:r>
              <w:rPr>
                <w:rFonts w:hint="eastAsia" w:ascii="黑体" w:hAnsi="黑体" w:eastAsia="黑体" w:cs="黑体"/>
                <w:b/>
                <w:bCs/>
                <w:spacing w:val="-3"/>
                <w:sz w:val="24"/>
                <w:szCs w:val="24"/>
                <w:vertAlign w:val="baseline"/>
                <w:lang w:val="en-US" w:eastAsia="zh-CN"/>
              </w:rPr>
              <w:t>利用/处置方式代码</w:t>
            </w:r>
          </w:p>
        </w:tc>
        <w:tc>
          <w:tcPr>
            <w:tcW w:w="1306" w:type="dxa"/>
            <w:vMerge w:val="restart"/>
            <w:vAlign w:val="center"/>
          </w:tcPr>
          <w:p>
            <w:pPr>
              <w:spacing w:before="68" w:line="220" w:lineRule="auto"/>
              <w:jc w:val="center"/>
              <w:rPr>
                <w:rFonts w:hint="eastAsia" w:ascii="黑体" w:hAnsi="黑体" w:eastAsia="黑体" w:cs="黑体"/>
                <w:b/>
                <w:bCs/>
                <w:spacing w:val="-3"/>
                <w:sz w:val="24"/>
                <w:szCs w:val="24"/>
                <w:vertAlign w:val="baseline"/>
                <w:lang w:val="en-US" w:eastAsia="zh-CN"/>
              </w:rPr>
            </w:pPr>
            <w:r>
              <w:rPr>
                <w:rFonts w:hint="eastAsia" w:ascii="黑体" w:hAnsi="黑体" w:eastAsia="黑体" w:cs="黑体"/>
                <w:b/>
                <w:bCs/>
                <w:spacing w:val="-3"/>
                <w:sz w:val="24"/>
                <w:szCs w:val="24"/>
                <w:vertAlign w:val="baseline"/>
                <w:lang w:val="en-US" w:eastAsia="zh-CN"/>
              </w:rPr>
              <w:t>拟接收单位类型</w:t>
            </w:r>
          </w:p>
        </w:tc>
        <w:tc>
          <w:tcPr>
            <w:tcW w:w="2832" w:type="dxa"/>
            <w:gridSpan w:val="2"/>
            <w:vAlign w:val="center"/>
          </w:tcPr>
          <w:p>
            <w:pPr>
              <w:spacing w:before="68" w:line="220" w:lineRule="auto"/>
              <w:jc w:val="center"/>
              <w:rPr>
                <w:rFonts w:hint="eastAsia" w:ascii="黑体" w:hAnsi="黑体" w:eastAsia="黑体" w:cs="黑体"/>
                <w:b/>
                <w:bCs/>
                <w:spacing w:val="-3"/>
                <w:sz w:val="24"/>
                <w:szCs w:val="24"/>
                <w:vertAlign w:val="baseline"/>
                <w:lang w:val="en-US" w:eastAsia="zh-CN"/>
              </w:rPr>
            </w:pPr>
            <w:r>
              <w:rPr>
                <w:rFonts w:hint="eastAsia" w:ascii="黑体" w:hAnsi="黑体" w:eastAsia="黑体" w:cs="黑体"/>
                <w:b/>
                <w:bCs/>
                <w:spacing w:val="-3"/>
                <w:sz w:val="24"/>
                <w:szCs w:val="24"/>
                <w:vertAlign w:val="baseline"/>
                <w:lang w:val="en-US" w:eastAsia="zh-CN"/>
              </w:rPr>
              <w:t>危险废物经营许可证持有单位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2" w:hRule="atLeast"/>
        </w:trPr>
        <w:tc>
          <w:tcPr>
            <w:tcW w:w="722" w:type="dxa"/>
            <w:vMerge w:val="continue"/>
            <w:vAlign w:val="center"/>
          </w:tcPr>
          <w:p>
            <w:pPr>
              <w:spacing w:before="68" w:line="220" w:lineRule="auto"/>
              <w:jc w:val="center"/>
              <w:rPr>
                <w:rFonts w:hint="eastAsia" w:asciiTheme="minorEastAsia" w:hAnsiTheme="minorEastAsia" w:eastAsiaTheme="minorEastAsia" w:cstheme="minorEastAsia"/>
                <w:sz w:val="21"/>
                <w:szCs w:val="21"/>
              </w:rPr>
            </w:pPr>
          </w:p>
        </w:tc>
        <w:tc>
          <w:tcPr>
            <w:tcW w:w="722" w:type="dxa"/>
            <w:vMerge w:val="continue"/>
            <w:vAlign w:val="center"/>
          </w:tcPr>
          <w:p>
            <w:pPr>
              <w:spacing w:before="68" w:line="220" w:lineRule="auto"/>
              <w:jc w:val="center"/>
              <w:rPr>
                <w:rFonts w:hint="eastAsia" w:asciiTheme="minorEastAsia" w:hAnsiTheme="minorEastAsia" w:eastAsiaTheme="minorEastAsia" w:cstheme="minorEastAsia"/>
                <w:sz w:val="21"/>
                <w:szCs w:val="21"/>
              </w:rPr>
            </w:pPr>
          </w:p>
        </w:tc>
        <w:tc>
          <w:tcPr>
            <w:tcW w:w="981" w:type="dxa"/>
            <w:vAlign w:val="center"/>
          </w:tcPr>
          <w:p>
            <w:pPr>
              <w:spacing w:before="68" w:line="220" w:lineRule="auto"/>
              <w:jc w:val="center"/>
              <w:rPr>
                <w:rFonts w:hint="eastAsia" w:ascii="黑体" w:hAnsi="黑体" w:eastAsia="黑体" w:cs="黑体"/>
                <w:b/>
                <w:bCs/>
                <w:spacing w:val="-3"/>
                <w:sz w:val="24"/>
                <w:szCs w:val="24"/>
                <w:vertAlign w:val="baseline"/>
                <w:lang w:val="en-US" w:eastAsia="zh-CN"/>
              </w:rPr>
            </w:pPr>
            <w:r>
              <w:rPr>
                <w:rFonts w:hint="eastAsia" w:ascii="黑体" w:hAnsi="黑体" w:eastAsia="黑体" w:cs="黑体"/>
                <w:b/>
                <w:bCs/>
                <w:spacing w:val="-3"/>
                <w:sz w:val="24"/>
                <w:szCs w:val="24"/>
                <w:vertAlign w:val="baseline"/>
                <w:lang w:val="en-US" w:eastAsia="zh-CN"/>
              </w:rPr>
              <w:t>行业俗称/单位内部名称</w:t>
            </w:r>
          </w:p>
          <w:p>
            <w:pPr>
              <w:spacing w:before="68" w:line="220" w:lineRule="auto"/>
              <w:jc w:val="center"/>
              <w:rPr>
                <w:rFonts w:hint="default" w:asciiTheme="minorEastAsia" w:hAnsi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
            </w:r>
          </w:p>
        </w:tc>
        <w:tc>
          <w:tcPr>
            <w:tcW w:w="977"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黑体" w:hAnsi="黑体" w:eastAsia="黑体" w:cs="黑体"/>
                <w:b/>
                <w:bCs/>
                <w:spacing w:val="-3"/>
                <w:sz w:val="24"/>
                <w:szCs w:val="24"/>
                <w:vertAlign w:val="baseline"/>
                <w:lang w:val="en-US" w:eastAsia="zh-CN"/>
              </w:rPr>
              <w:t>国家危险废物名录名称</w:t>
            </w:r>
          </w:p>
        </w:tc>
        <w:tc>
          <w:tcPr>
            <w:tcW w:w="722" w:type="dxa"/>
            <w:vMerge w:val="continue"/>
            <w:vAlign w:val="center"/>
          </w:tcPr>
          <w:p>
            <w:pPr>
              <w:spacing w:before="68" w:line="220" w:lineRule="auto"/>
              <w:jc w:val="center"/>
              <w:rPr>
                <w:rFonts w:hint="eastAsia" w:ascii="黑体" w:hAnsi="黑体" w:eastAsia="黑体" w:cs="黑体"/>
                <w:b/>
                <w:bCs/>
                <w:spacing w:val="-3"/>
                <w:sz w:val="24"/>
                <w:szCs w:val="24"/>
                <w:vertAlign w:val="baseline"/>
              </w:rPr>
            </w:pPr>
          </w:p>
        </w:tc>
        <w:tc>
          <w:tcPr>
            <w:tcW w:w="722" w:type="dxa"/>
            <w:vMerge w:val="continue"/>
            <w:vAlign w:val="center"/>
          </w:tcPr>
          <w:p>
            <w:pPr>
              <w:spacing w:before="68" w:line="220" w:lineRule="auto"/>
              <w:jc w:val="center"/>
              <w:rPr>
                <w:rFonts w:hint="eastAsia" w:ascii="黑体" w:hAnsi="黑体" w:eastAsia="黑体" w:cs="黑体"/>
                <w:b/>
                <w:bCs/>
                <w:spacing w:val="-3"/>
                <w:sz w:val="24"/>
                <w:szCs w:val="24"/>
                <w:vertAlign w:val="baseline"/>
              </w:rPr>
            </w:pPr>
          </w:p>
        </w:tc>
        <w:tc>
          <w:tcPr>
            <w:tcW w:w="722" w:type="dxa"/>
            <w:vMerge w:val="continue"/>
            <w:vAlign w:val="center"/>
          </w:tcPr>
          <w:p>
            <w:pPr>
              <w:spacing w:before="68" w:line="220" w:lineRule="auto"/>
              <w:jc w:val="center"/>
              <w:rPr>
                <w:rFonts w:hint="eastAsia" w:ascii="黑体" w:hAnsi="黑体" w:eastAsia="黑体" w:cs="黑体"/>
                <w:b/>
                <w:bCs/>
                <w:spacing w:val="-3"/>
                <w:sz w:val="24"/>
                <w:szCs w:val="24"/>
                <w:vertAlign w:val="baseline"/>
              </w:rPr>
            </w:pPr>
          </w:p>
        </w:tc>
        <w:tc>
          <w:tcPr>
            <w:tcW w:w="722" w:type="dxa"/>
            <w:vMerge w:val="continue"/>
            <w:vAlign w:val="center"/>
          </w:tcPr>
          <w:p>
            <w:pPr>
              <w:spacing w:before="68" w:line="220" w:lineRule="auto"/>
              <w:jc w:val="center"/>
              <w:rPr>
                <w:rFonts w:hint="eastAsia" w:ascii="黑体" w:hAnsi="黑体" w:eastAsia="黑体" w:cs="黑体"/>
                <w:b/>
                <w:bCs/>
                <w:spacing w:val="-3"/>
                <w:sz w:val="24"/>
                <w:szCs w:val="24"/>
                <w:vertAlign w:val="baseline"/>
              </w:rPr>
            </w:pPr>
          </w:p>
        </w:tc>
        <w:tc>
          <w:tcPr>
            <w:tcW w:w="1114" w:type="dxa"/>
            <w:vMerge w:val="continue"/>
            <w:vAlign w:val="center"/>
          </w:tcPr>
          <w:p>
            <w:pPr>
              <w:spacing w:before="68" w:line="220" w:lineRule="auto"/>
              <w:jc w:val="center"/>
              <w:rPr>
                <w:rFonts w:hint="eastAsia" w:ascii="黑体" w:hAnsi="黑体" w:eastAsia="黑体" w:cs="黑体"/>
                <w:b/>
                <w:bCs/>
                <w:spacing w:val="-3"/>
                <w:sz w:val="24"/>
                <w:szCs w:val="24"/>
                <w:vertAlign w:val="baseline"/>
              </w:rPr>
            </w:pPr>
          </w:p>
        </w:tc>
        <w:tc>
          <w:tcPr>
            <w:tcW w:w="724" w:type="dxa"/>
            <w:vMerge w:val="continue"/>
            <w:vAlign w:val="center"/>
          </w:tcPr>
          <w:p>
            <w:pPr>
              <w:spacing w:before="68" w:line="220" w:lineRule="auto"/>
              <w:jc w:val="center"/>
              <w:rPr>
                <w:rFonts w:hint="eastAsia" w:ascii="黑体" w:hAnsi="黑体" w:eastAsia="黑体" w:cs="黑体"/>
                <w:b/>
                <w:bCs/>
                <w:spacing w:val="-3"/>
                <w:sz w:val="24"/>
                <w:szCs w:val="24"/>
                <w:vertAlign w:val="baseline"/>
              </w:rPr>
            </w:pPr>
          </w:p>
        </w:tc>
        <w:tc>
          <w:tcPr>
            <w:tcW w:w="944" w:type="dxa"/>
            <w:vMerge w:val="continue"/>
            <w:vAlign w:val="center"/>
          </w:tcPr>
          <w:p>
            <w:pPr>
              <w:spacing w:before="68" w:line="220" w:lineRule="auto"/>
              <w:jc w:val="center"/>
              <w:rPr>
                <w:rFonts w:hint="eastAsia" w:ascii="黑体" w:hAnsi="黑体" w:eastAsia="黑体" w:cs="黑体"/>
                <w:b/>
                <w:bCs/>
                <w:spacing w:val="-3"/>
                <w:sz w:val="24"/>
                <w:szCs w:val="24"/>
                <w:vertAlign w:val="baseline"/>
              </w:rPr>
            </w:pPr>
          </w:p>
        </w:tc>
        <w:tc>
          <w:tcPr>
            <w:tcW w:w="880" w:type="dxa"/>
            <w:vMerge w:val="continue"/>
            <w:vAlign w:val="center"/>
          </w:tcPr>
          <w:p>
            <w:pPr>
              <w:spacing w:before="68" w:line="220" w:lineRule="auto"/>
              <w:jc w:val="center"/>
              <w:rPr>
                <w:rFonts w:hint="eastAsia" w:ascii="黑体" w:hAnsi="黑体" w:eastAsia="黑体" w:cs="黑体"/>
                <w:b/>
                <w:bCs/>
                <w:spacing w:val="-3"/>
                <w:sz w:val="24"/>
                <w:szCs w:val="24"/>
                <w:vertAlign w:val="baseline"/>
              </w:rPr>
            </w:pPr>
          </w:p>
        </w:tc>
        <w:tc>
          <w:tcPr>
            <w:tcW w:w="1306" w:type="dxa"/>
            <w:vMerge w:val="continue"/>
            <w:vAlign w:val="center"/>
          </w:tcPr>
          <w:p>
            <w:pPr>
              <w:spacing w:before="68" w:line="220" w:lineRule="auto"/>
              <w:jc w:val="center"/>
              <w:rPr>
                <w:rFonts w:hint="eastAsia" w:ascii="黑体" w:hAnsi="黑体" w:eastAsia="黑体" w:cs="黑体"/>
                <w:b/>
                <w:bCs/>
                <w:spacing w:val="-3"/>
                <w:sz w:val="24"/>
                <w:szCs w:val="24"/>
                <w:vertAlign w:val="baseline"/>
              </w:rPr>
            </w:pPr>
          </w:p>
        </w:tc>
        <w:tc>
          <w:tcPr>
            <w:tcW w:w="1319" w:type="dxa"/>
            <w:vAlign w:val="center"/>
          </w:tcPr>
          <w:p>
            <w:pPr>
              <w:spacing w:before="68" w:line="220" w:lineRule="auto"/>
              <w:jc w:val="center"/>
              <w:rPr>
                <w:rFonts w:hint="eastAsia" w:ascii="黑体" w:hAnsi="黑体" w:eastAsia="黑体" w:cs="黑体"/>
                <w:b/>
                <w:bCs/>
                <w:spacing w:val="-3"/>
                <w:sz w:val="24"/>
                <w:szCs w:val="24"/>
                <w:vertAlign w:val="baseline"/>
                <w:lang w:val="en-US" w:eastAsia="zh-CN"/>
              </w:rPr>
            </w:pPr>
            <w:r>
              <w:rPr>
                <w:rFonts w:hint="eastAsia" w:ascii="黑体" w:hAnsi="黑体" w:eastAsia="黑体" w:cs="黑体"/>
                <w:b/>
                <w:bCs/>
                <w:spacing w:val="-3"/>
                <w:sz w:val="24"/>
                <w:szCs w:val="24"/>
                <w:vertAlign w:val="baseline"/>
                <w:lang w:val="en-US" w:eastAsia="zh-CN"/>
              </w:rPr>
              <w:t>单位名称</w:t>
            </w:r>
          </w:p>
        </w:tc>
        <w:tc>
          <w:tcPr>
            <w:tcW w:w="1513" w:type="dxa"/>
            <w:vAlign w:val="center"/>
          </w:tcPr>
          <w:p>
            <w:pPr>
              <w:spacing w:before="68" w:line="220" w:lineRule="auto"/>
              <w:jc w:val="center"/>
              <w:rPr>
                <w:rFonts w:hint="eastAsia" w:ascii="黑体" w:hAnsi="黑体" w:eastAsia="黑体" w:cs="黑体"/>
                <w:b/>
                <w:bCs/>
                <w:spacing w:val="-3"/>
                <w:sz w:val="24"/>
                <w:szCs w:val="24"/>
                <w:vertAlign w:val="baseline"/>
                <w:lang w:val="en-US" w:eastAsia="zh-CN"/>
              </w:rPr>
            </w:pPr>
            <w:r>
              <w:rPr>
                <w:rFonts w:hint="eastAsia" w:ascii="黑体" w:hAnsi="黑体" w:eastAsia="黑体" w:cs="黑体"/>
                <w:b/>
                <w:bCs/>
                <w:spacing w:val="-3"/>
                <w:sz w:val="24"/>
                <w:szCs w:val="24"/>
                <w:vertAlign w:val="baseline"/>
                <w:lang w:val="en-US" w:eastAsia="zh-CN"/>
              </w:rPr>
              <w:t>许可证编码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1</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跨区转移</w:t>
            </w:r>
          </w:p>
        </w:tc>
        <w:tc>
          <w:tcPr>
            <w:tcW w:w="981"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间位油</w:t>
            </w:r>
          </w:p>
        </w:tc>
        <w:tc>
          <w:tcPr>
            <w:tcW w:w="977"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氯苯、二氯苯生产过程中的蒸馏及分馏残渣</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HW11</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261-026-11</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对二氯苯、邻二氯苯和杂质</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半固态</w:t>
            </w:r>
          </w:p>
        </w:tc>
        <w:tc>
          <w:tcPr>
            <w:tcW w:w="111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毒性</w:t>
            </w:r>
          </w:p>
        </w:tc>
        <w:tc>
          <w:tcPr>
            <w:tcW w:w="72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400</w:t>
            </w:r>
          </w:p>
        </w:tc>
        <w:tc>
          <w:tcPr>
            <w:tcW w:w="94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吨</w:t>
            </w:r>
          </w:p>
        </w:tc>
        <w:tc>
          <w:tcPr>
            <w:tcW w:w="880"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R3</w:t>
            </w:r>
          </w:p>
        </w:tc>
        <w:tc>
          <w:tcPr>
            <w:tcW w:w="1306"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危险废物经营许可证持有单位</w:t>
            </w:r>
          </w:p>
        </w:tc>
        <w:tc>
          <w:tcPr>
            <w:tcW w:w="1319"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池州新赛德颜料有限公司</w:t>
            </w:r>
          </w:p>
        </w:tc>
        <w:tc>
          <w:tcPr>
            <w:tcW w:w="1513"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341721002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2</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区内转移</w:t>
            </w:r>
          </w:p>
        </w:tc>
        <w:tc>
          <w:tcPr>
            <w:tcW w:w="981"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高沸物</w:t>
            </w:r>
          </w:p>
        </w:tc>
        <w:tc>
          <w:tcPr>
            <w:tcW w:w="977"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氯苯、二氯苯生产过程中的蒸馏及分馏残渣</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HW11</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261-026-11</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对二氯苯、邻二氯苯和杂质</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半固态</w:t>
            </w:r>
          </w:p>
        </w:tc>
        <w:tc>
          <w:tcPr>
            <w:tcW w:w="111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毒性</w:t>
            </w:r>
          </w:p>
        </w:tc>
        <w:tc>
          <w:tcPr>
            <w:tcW w:w="72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100</w:t>
            </w:r>
          </w:p>
        </w:tc>
        <w:tc>
          <w:tcPr>
            <w:tcW w:w="94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吨</w:t>
            </w:r>
          </w:p>
        </w:tc>
        <w:tc>
          <w:tcPr>
            <w:tcW w:w="880"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D10</w:t>
            </w:r>
          </w:p>
        </w:tc>
        <w:tc>
          <w:tcPr>
            <w:tcW w:w="1306"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危险废物经营许可证持有单位</w:t>
            </w:r>
          </w:p>
        </w:tc>
        <w:tc>
          <w:tcPr>
            <w:tcW w:w="1319"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宁夏宸宇环保科技有限公司</w:t>
            </w:r>
          </w:p>
        </w:tc>
        <w:tc>
          <w:tcPr>
            <w:tcW w:w="1513"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NWF[2024]015号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3</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区内转移</w:t>
            </w:r>
          </w:p>
        </w:tc>
        <w:tc>
          <w:tcPr>
            <w:tcW w:w="981"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间位油</w:t>
            </w:r>
          </w:p>
        </w:tc>
        <w:tc>
          <w:tcPr>
            <w:tcW w:w="977"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氯苯、二氯苯生产过程中的蒸馏及分馏残渣</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HW11</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261-026-11</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对二氯苯、邻二氯苯和杂质</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半固态</w:t>
            </w:r>
          </w:p>
        </w:tc>
        <w:tc>
          <w:tcPr>
            <w:tcW w:w="111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毒性</w:t>
            </w:r>
          </w:p>
        </w:tc>
        <w:tc>
          <w:tcPr>
            <w:tcW w:w="72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400</w:t>
            </w:r>
          </w:p>
        </w:tc>
        <w:tc>
          <w:tcPr>
            <w:tcW w:w="94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吨</w:t>
            </w:r>
          </w:p>
        </w:tc>
        <w:tc>
          <w:tcPr>
            <w:tcW w:w="880"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D10</w:t>
            </w:r>
          </w:p>
        </w:tc>
        <w:tc>
          <w:tcPr>
            <w:tcW w:w="1306"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危险废物经营许可证持有单位</w:t>
            </w:r>
          </w:p>
        </w:tc>
        <w:tc>
          <w:tcPr>
            <w:tcW w:w="1319"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宁夏宸宇环保科技有限公司</w:t>
            </w:r>
          </w:p>
        </w:tc>
        <w:tc>
          <w:tcPr>
            <w:tcW w:w="1513"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NWF[2024]015号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4</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区内转移</w:t>
            </w:r>
          </w:p>
        </w:tc>
        <w:tc>
          <w:tcPr>
            <w:tcW w:w="981"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蒸馏釜残</w:t>
            </w:r>
          </w:p>
        </w:tc>
        <w:tc>
          <w:tcPr>
            <w:tcW w:w="977"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其他化工生产过程（不包括以生物质为主要原料的加工过程）中精馏、蒸馏和热解工艺产生的高沸点釜底残余物</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HW11</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900-013-11</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邻硝基苯酚、邻硝基氯苯、杂质</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半固态</w:t>
            </w:r>
          </w:p>
        </w:tc>
        <w:tc>
          <w:tcPr>
            <w:tcW w:w="111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毒性</w:t>
            </w:r>
          </w:p>
        </w:tc>
        <w:tc>
          <w:tcPr>
            <w:tcW w:w="72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1000</w:t>
            </w:r>
          </w:p>
        </w:tc>
        <w:tc>
          <w:tcPr>
            <w:tcW w:w="94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吨</w:t>
            </w:r>
          </w:p>
        </w:tc>
        <w:tc>
          <w:tcPr>
            <w:tcW w:w="880"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D10</w:t>
            </w:r>
          </w:p>
        </w:tc>
        <w:tc>
          <w:tcPr>
            <w:tcW w:w="1306"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危险废物经营许可证持有单位</w:t>
            </w:r>
          </w:p>
        </w:tc>
        <w:tc>
          <w:tcPr>
            <w:tcW w:w="1319"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宁夏宸宇环保科技有限公司</w:t>
            </w:r>
          </w:p>
        </w:tc>
        <w:tc>
          <w:tcPr>
            <w:tcW w:w="1513"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NWF[2024]015号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5</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区内转移</w:t>
            </w:r>
          </w:p>
        </w:tc>
        <w:tc>
          <w:tcPr>
            <w:tcW w:w="981"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甲醚二次蒸馏焦油</w:t>
            </w:r>
          </w:p>
        </w:tc>
        <w:tc>
          <w:tcPr>
            <w:tcW w:w="977"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其他化工生产过程（不包括以生物质为主要原料的加工过程）中精馏、蒸馏和热解工艺产生的高沸点釜底残余物</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HW11</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900-013-11</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有机物、杂质</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半固态</w:t>
            </w:r>
          </w:p>
        </w:tc>
        <w:tc>
          <w:tcPr>
            <w:tcW w:w="111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毒性</w:t>
            </w:r>
          </w:p>
        </w:tc>
        <w:tc>
          <w:tcPr>
            <w:tcW w:w="72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300</w:t>
            </w:r>
          </w:p>
        </w:tc>
        <w:tc>
          <w:tcPr>
            <w:tcW w:w="94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吨</w:t>
            </w:r>
          </w:p>
        </w:tc>
        <w:tc>
          <w:tcPr>
            <w:tcW w:w="880"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D10</w:t>
            </w:r>
          </w:p>
        </w:tc>
        <w:tc>
          <w:tcPr>
            <w:tcW w:w="1306"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危险废物经营许可证持有单位</w:t>
            </w:r>
          </w:p>
        </w:tc>
        <w:tc>
          <w:tcPr>
            <w:tcW w:w="1319"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宁夏宸宇环保科技有限公司</w:t>
            </w:r>
          </w:p>
        </w:tc>
        <w:tc>
          <w:tcPr>
            <w:tcW w:w="1513"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NWF[2024]015号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6</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区内转移</w:t>
            </w:r>
          </w:p>
        </w:tc>
        <w:tc>
          <w:tcPr>
            <w:tcW w:w="981"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废焦油</w:t>
            </w:r>
          </w:p>
        </w:tc>
        <w:tc>
          <w:tcPr>
            <w:tcW w:w="977"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其他化工生产过程（不包括以生物质为主要原料的加工过程）中精馏、蒸馏和热解工艺产生的高沸点釜底残余物</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HW11</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900-013-11</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聚合焦油和杂质</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液态</w:t>
            </w:r>
          </w:p>
        </w:tc>
        <w:tc>
          <w:tcPr>
            <w:tcW w:w="111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毒性</w:t>
            </w:r>
          </w:p>
        </w:tc>
        <w:tc>
          <w:tcPr>
            <w:tcW w:w="72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400</w:t>
            </w:r>
          </w:p>
        </w:tc>
        <w:tc>
          <w:tcPr>
            <w:tcW w:w="94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吨</w:t>
            </w:r>
          </w:p>
        </w:tc>
        <w:tc>
          <w:tcPr>
            <w:tcW w:w="880"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D10</w:t>
            </w:r>
          </w:p>
        </w:tc>
        <w:tc>
          <w:tcPr>
            <w:tcW w:w="1306"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危险废物经营许可证持有单位</w:t>
            </w:r>
          </w:p>
        </w:tc>
        <w:tc>
          <w:tcPr>
            <w:tcW w:w="1319"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宁夏宸宇环保科技有限公司</w:t>
            </w:r>
          </w:p>
        </w:tc>
        <w:tc>
          <w:tcPr>
            <w:tcW w:w="1513"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NWF[2024]015号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7</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区内转移</w:t>
            </w:r>
          </w:p>
        </w:tc>
        <w:tc>
          <w:tcPr>
            <w:tcW w:w="981"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粗制下脚/精制下脚</w:t>
            </w:r>
          </w:p>
        </w:tc>
        <w:tc>
          <w:tcPr>
            <w:tcW w:w="977"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其他化工生产过程（不包括以生物质为主要原料的加工过程）中精馏、蒸馏和热解工艺产生的高沸点釜底残余物</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HW11</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900-013-11</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二苯醚、苯酚、杂质</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固态</w:t>
            </w:r>
          </w:p>
        </w:tc>
        <w:tc>
          <w:tcPr>
            <w:tcW w:w="111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毒性</w:t>
            </w:r>
          </w:p>
        </w:tc>
        <w:tc>
          <w:tcPr>
            <w:tcW w:w="72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300</w:t>
            </w:r>
          </w:p>
        </w:tc>
        <w:tc>
          <w:tcPr>
            <w:tcW w:w="94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吨</w:t>
            </w:r>
          </w:p>
        </w:tc>
        <w:tc>
          <w:tcPr>
            <w:tcW w:w="880"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D10</w:t>
            </w:r>
          </w:p>
        </w:tc>
        <w:tc>
          <w:tcPr>
            <w:tcW w:w="1306"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危险废物经营许可证持有单位</w:t>
            </w:r>
          </w:p>
        </w:tc>
        <w:tc>
          <w:tcPr>
            <w:tcW w:w="1319"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宁夏宸宇环保科技有限公司</w:t>
            </w:r>
          </w:p>
        </w:tc>
        <w:tc>
          <w:tcPr>
            <w:tcW w:w="1513"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NWF[2024]015号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8</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区内转移</w:t>
            </w:r>
          </w:p>
        </w:tc>
        <w:tc>
          <w:tcPr>
            <w:tcW w:w="981"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产品精制焦油（精蒸馏残渣）</w:t>
            </w:r>
          </w:p>
        </w:tc>
        <w:tc>
          <w:tcPr>
            <w:tcW w:w="977"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其他化工生产过程（不包括以生物质为主要原料的加工过程）中精馏、蒸馏和热解工艺产生的高沸点釜底残余物</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HW11</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900-013-11</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邻、对、间硝基氯苯、杂质</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液态</w:t>
            </w:r>
          </w:p>
        </w:tc>
        <w:tc>
          <w:tcPr>
            <w:tcW w:w="111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毒性</w:t>
            </w:r>
          </w:p>
        </w:tc>
        <w:tc>
          <w:tcPr>
            <w:tcW w:w="72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400</w:t>
            </w:r>
          </w:p>
        </w:tc>
        <w:tc>
          <w:tcPr>
            <w:tcW w:w="94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吨</w:t>
            </w:r>
          </w:p>
        </w:tc>
        <w:tc>
          <w:tcPr>
            <w:tcW w:w="880"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D10</w:t>
            </w:r>
          </w:p>
        </w:tc>
        <w:tc>
          <w:tcPr>
            <w:tcW w:w="1306"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危险废物经营许可证持有单位</w:t>
            </w:r>
          </w:p>
        </w:tc>
        <w:tc>
          <w:tcPr>
            <w:tcW w:w="1319"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宁夏宸宇环保科技有限公司</w:t>
            </w:r>
          </w:p>
        </w:tc>
        <w:tc>
          <w:tcPr>
            <w:tcW w:w="1513"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NWF[2024]015号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9</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区内转移</w:t>
            </w:r>
          </w:p>
        </w:tc>
        <w:tc>
          <w:tcPr>
            <w:tcW w:w="981"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蒸馏釜残（硝基酚装置）</w:t>
            </w:r>
          </w:p>
        </w:tc>
        <w:tc>
          <w:tcPr>
            <w:tcW w:w="977"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其他化工生产过程（不包括以生物质为主要原料的加工过程）中精馏、蒸馏和热解工艺产生的高沸点釜底残余物</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HW11</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900-013-11</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含焦油、杂质和8-羟基喹啉</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半固态</w:t>
            </w:r>
          </w:p>
        </w:tc>
        <w:tc>
          <w:tcPr>
            <w:tcW w:w="111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毒性</w:t>
            </w:r>
          </w:p>
        </w:tc>
        <w:tc>
          <w:tcPr>
            <w:tcW w:w="72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100</w:t>
            </w:r>
          </w:p>
        </w:tc>
        <w:tc>
          <w:tcPr>
            <w:tcW w:w="94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吨</w:t>
            </w:r>
          </w:p>
        </w:tc>
        <w:tc>
          <w:tcPr>
            <w:tcW w:w="880"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D10</w:t>
            </w:r>
          </w:p>
        </w:tc>
        <w:tc>
          <w:tcPr>
            <w:tcW w:w="1306"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危险废物经营许可证持有单位</w:t>
            </w:r>
          </w:p>
        </w:tc>
        <w:tc>
          <w:tcPr>
            <w:tcW w:w="1319"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宁夏宸宇环保科技有限公司</w:t>
            </w:r>
          </w:p>
        </w:tc>
        <w:tc>
          <w:tcPr>
            <w:tcW w:w="1513"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NWF[2024]015号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10</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区内转移</w:t>
            </w:r>
          </w:p>
        </w:tc>
        <w:tc>
          <w:tcPr>
            <w:tcW w:w="981"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结晶釜残</w:t>
            </w:r>
          </w:p>
        </w:tc>
        <w:tc>
          <w:tcPr>
            <w:tcW w:w="977"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工业生产中作为清洗剂、萃取剂、溶剂或反应介质使用后废弃的有机溶剂，包括苯、苯乙烯、丁醇、丙酮、正己烷、甲苯、邻二甲苯、间二甲苯、对二甲苯、1,2,4-三甲苯、乙苯、乙醇、异丙醇、乙醚、丙醚、乙酸甲酯、乙酸乙酯、乙酸丁酯、丙酸丁酯、苯酚，以及在使用前混合的含有一种或多种上述溶剂的混合/调和溶剂</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HW06</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900-402-06</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乙醇、8-羟基喹啉和焦油</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半固态</w:t>
            </w:r>
          </w:p>
        </w:tc>
        <w:tc>
          <w:tcPr>
            <w:tcW w:w="111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毒性, 易燃性, 反应性</w:t>
            </w:r>
          </w:p>
        </w:tc>
        <w:tc>
          <w:tcPr>
            <w:tcW w:w="72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100</w:t>
            </w:r>
          </w:p>
        </w:tc>
        <w:tc>
          <w:tcPr>
            <w:tcW w:w="94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吨</w:t>
            </w:r>
          </w:p>
        </w:tc>
        <w:tc>
          <w:tcPr>
            <w:tcW w:w="880"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D10</w:t>
            </w:r>
          </w:p>
        </w:tc>
        <w:tc>
          <w:tcPr>
            <w:tcW w:w="1306"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危险废物经营许可证持有单位</w:t>
            </w:r>
          </w:p>
        </w:tc>
        <w:tc>
          <w:tcPr>
            <w:tcW w:w="1319"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宁夏宸宇环保科技有限公司</w:t>
            </w:r>
          </w:p>
        </w:tc>
        <w:tc>
          <w:tcPr>
            <w:tcW w:w="1513"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NWF[2024]015号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11</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跨区转移</w:t>
            </w:r>
          </w:p>
        </w:tc>
        <w:tc>
          <w:tcPr>
            <w:tcW w:w="981"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混合二氯苯</w:t>
            </w:r>
          </w:p>
        </w:tc>
        <w:tc>
          <w:tcPr>
            <w:tcW w:w="977"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氯苯、二氯苯生产过程中的蒸馏及分馏残渣</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HW11</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261-026-11</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对二氯苯、间二氯苯、邻二氯苯</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液态</w:t>
            </w:r>
          </w:p>
        </w:tc>
        <w:tc>
          <w:tcPr>
            <w:tcW w:w="111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毒性</w:t>
            </w:r>
          </w:p>
        </w:tc>
        <w:tc>
          <w:tcPr>
            <w:tcW w:w="72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2200</w:t>
            </w:r>
          </w:p>
        </w:tc>
        <w:tc>
          <w:tcPr>
            <w:tcW w:w="94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吨</w:t>
            </w:r>
          </w:p>
        </w:tc>
        <w:tc>
          <w:tcPr>
            <w:tcW w:w="880"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R15</w:t>
            </w:r>
          </w:p>
        </w:tc>
        <w:tc>
          <w:tcPr>
            <w:tcW w:w="1306"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危险废物经营许可证持有单位</w:t>
            </w:r>
          </w:p>
        </w:tc>
        <w:tc>
          <w:tcPr>
            <w:tcW w:w="1319"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江苏隆昌化工有限公司</w:t>
            </w:r>
          </w:p>
        </w:tc>
        <w:tc>
          <w:tcPr>
            <w:tcW w:w="1513"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JSNT0682OOD012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12</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区内转移</w:t>
            </w:r>
          </w:p>
        </w:tc>
        <w:tc>
          <w:tcPr>
            <w:tcW w:w="981"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废矿物油</w:t>
            </w:r>
          </w:p>
        </w:tc>
        <w:tc>
          <w:tcPr>
            <w:tcW w:w="977"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使用工业齿轮油进行机械设备润滑过程中产生的废润滑油</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HW08</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900-217-08</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废机油</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液态</w:t>
            </w:r>
          </w:p>
        </w:tc>
        <w:tc>
          <w:tcPr>
            <w:tcW w:w="111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易燃性</w:t>
            </w:r>
          </w:p>
        </w:tc>
        <w:tc>
          <w:tcPr>
            <w:tcW w:w="72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30</w:t>
            </w:r>
          </w:p>
        </w:tc>
        <w:tc>
          <w:tcPr>
            <w:tcW w:w="94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吨</w:t>
            </w:r>
          </w:p>
        </w:tc>
        <w:tc>
          <w:tcPr>
            <w:tcW w:w="880"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R9</w:t>
            </w:r>
          </w:p>
        </w:tc>
        <w:tc>
          <w:tcPr>
            <w:tcW w:w="1306"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危险废物经营许可证持有单位</w:t>
            </w:r>
          </w:p>
        </w:tc>
        <w:tc>
          <w:tcPr>
            <w:tcW w:w="1319"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宁夏圣亚利化工有限公司</w:t>
            </w:r>
          </w:p>
        </w:tc>
        <w:tc>
          <w:tcPr>
            <w:tcW w:w="1513"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NWF[2024]011号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13</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区内转移</w:t>
            </w:r>
          </w:p>
        </w:tc>
        <w:tc>
          <w:tcPr>
            <w:tcW w:w="981"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粗制下脚/精制下脚</w:t>
            </w:r>
          </w:p>
        </w:tc>
        <w:tc>
          <w:tcPr>
            <w:tcW w:w="977"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其他化工生产过程（不包括以生物质为主要原料的加工过程）中精馏、蒸馏和热解工艺产生的高沸点釜底残余物</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HW11</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900-013-11</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二苯醚、苯酚、杂质</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固态</w:t>
            </w:r>
          </w:p>
        </w:tc>
        <w:tc>
          <w:tcPr>
            <w:tcW w:w="111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毒性</w:t>
            </w:r>
          </w:p>
        </w:tc>
        <w:tc>
          <w:tcPr>
            <w:tcW w:w="72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200</w:t>
            </w:r>
          </w:p>
        </w:tc>
        <w:tc>
          <w:tcPr>
            <w:tcW w:w="94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吨</w:t>
            </w:r>
          </w:p>
        </w:tc>
        <w:tc>
          <w:tcPr>
            <w:tcW w:w="880"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D10</w:t>
            </w:r>
          </w:p>
        </w:tc>
        <w:tc>
          <w:tcPr>
            <w:tcW w:w="1306"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危险废物经营许可证持有单位</w:t>
            </w:r>
          </w:p>
        </w:tc>
        <w:tc>
          <w:tcPr>
            <w:tcW w:w="1319"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宁夏宁东清大国华环境资源有限公司</w:t>
            </w:r>
          </w:p>
        </w:tc>
        <w:tc>
          <w:tcPr>
            <w:tcW w:w="1513"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NWF(2024]005号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14</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区内转移</w:t>
            </w:r>
          </w:p>
        </w:tc>
        <w:tc>
          <w:tcPr>
            <w:tcW w:w="981"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产品精制焦油（精蒸馏残渣）</w:t>
            </w:r>
          </w:p>
        </w:tc>
        <w:tc>
          <w:tcPr>
            <w:tcW w:w="977"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其他化工生产过程（不包括以生物质为主要原料的加工过程）中精馏、蒸馏和热解工艺产生的高沸点釜底残余物</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HW11</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900-013-11</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邻、对、间硝基氯苯、杂质</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液态</w:t>
            </w:r>
          </w:p>
        </w:tc>
        <w:tc>
          <w:tcPr>
            <w:tcW w:w="111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毒性</w:t>
            </w:r>
          </w:p>
        </w:tc>
        <w:tc>
          <w:tcPr>
            <w:tcW w:w="72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200</w:t>
            </w:r>
          </w:p>
        </w:tc>
        <w:tc>
          <w:tcPr>
            <w:tcW w:w="94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吨</w:t>
            </w:r>
          </w:p>
        </w:tc>
        <w:tc>
          <w:tcPr>
            <w:tcW w:w="880"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D10</w:t>
            </w:r>
          </w:p>
        </w:tc>
        <w:tc>
          <w:tcPr>
            <w:tcW w:w="1306"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危险废物经营许可证持有单位</w:t>
            </w:r>
          </w:p>
        </w:tc>
        <w:tc>
          <w:tcPr>
            <w:tcW w:w="1319"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宁夏宁东清大国华环境资源有限公司</w:t>
            </w:r>
          </w:p>
        </w:tc>
        <w:tc>
          <w:tcPr>
            <w:tcW w:w="1513"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NWF(2024]005号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15</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区内转移</w:t>
            </w:r>
          </w:p>
        </w:tc>
        <w:tc>
          <w:tcPr>
            <w:tcW w:w="981"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蒸馏釜残（硝基酚装置）</w:t>
            </w:r>
          </w:p>
        </w:tc>
        <w:tc>
          <w:tcPr>
            <w:tcW w:w="977"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其他化工生产过程（不包括以生物质为主要原料的加工过程）中精馏、蒸馏和热解工艺产生的高沸点釜底残余物</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HW11</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900-013-11</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含焦油、杂质和8-羟基喹啉</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半固态</w:t>
            </w:r>
          </w:p>
        </w:tc>
        <w:tc>
          <w:tcPr>
            <w:tcW w:w="111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毒性</w:t>
            </w:r>
          </w:p>
        </w:tc>
        <w:tc>
          <w:tcPr>
            <w:tcW w:w="72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100</w:t>
            </w:r>
          </w:p>
        </w:tc>
        <w:tc>
          <w:tcPr>
            <w:tcW w:w="94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吨</w:t>
            </w:r>
          </w:p>
        </w:tc>
        <w:tc>
          <w:tcPr>
            <w:tcW w:w="880"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D10</w:t>
            </w:r>
          </w:p>
        </w:tc>
        <w:tc>
          <w:tcPr>
            <w:tcW w:w="1306"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危险废物经营许可证持有单位</w:t>
            </w:r>
          </w:p>
        </w:tc>
        <w:tc>
          <w:tcPr>
            <w:tcW w:w="1319"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宁夏宁东清大国华环境资源有限公司</w:t>
            </w:r>
          </w:p>
        </w:tc>
        <w:tc>
          <w:tcPr>
            <w:tcW w:w="1513"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NWF(2024]005号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16</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区内转移</w:t>
            </w:r>
          </w:p>
        </w:tc>
        <w:tc>
          <w:tcPr>
            <w:tcW w:w="981"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废树脂</w:t>
            </w:r>
          </w:p>
        </w:tc>
        <w:tc>
          <w:tcPr>
            <w:tcW w:w="977"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湿法冶金、表面处理和制药行业重金属、抗生素提取、分离过程产生的废弃离子交换树脂，以及工业废水处理过程产生的废弃离子交换树脂</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HW13</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900-015-13</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苯乙烯、杂质</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固态</w:t>
            </w:r>
          </w:p>
        </w:tc>
        <w:tc>
          <w:tcPr>
            <w:tcW w:w="111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毒性</w:t>
            </w:r>
          </w:p>
        </w:tc>
        <w:tc>
          <w:tcPr>
            <w:tcW w:w="72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30</w:t>
            </w:r>
          </w:p>
        </w:tc>
        <w:tc>
          <w:tcPr>
            <w:tcW w:w="94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吨</w:t>
            </w:r>
          </w:p>
        </w:tc>
        <w:tc>
          <w:tcPr>
            <w:tcW w:w="880"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D10</w:t>
            </w:r>
          </w:p>
        </w:tc>
        <w:tc>
          <w:tcPr>
            <w:tcW w:w="1306"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危险废物经营许可证持有单位</w:t>
            </w:r>
          </w:p>
        </w:tc>
        <w:tc>
          <w:tcPr>
            <w:tcW w:w="1319"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宁夏宁东清大国华环境资源有限公司</w:t>
            </w:r>
          </w:p>
        </w:tc>
        <w:tc>
          <w:tcPr>
            <w:tcW w:w="1513"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NWF(2024]005号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17</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区内转移</w:t>
            </w:r>
          </w:p>
        </w:tc>
        <w:tc>
          <w:tcPr>
            <w:tcW w:w="981"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废活性炭/抽滤废渣</w:t>
            </w:r>
          </w:p>
        </w:tc>
        <w:tc>
          <w:tcPr>
            <w:tcW w:w="977"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烟气、VOCs治理过程（不包括餐饮行业油烟治理过程）产生的废活性炭，化学原料和化学制品脱色（不包括有机合成食品添加剂脱色）、除杂、净化过程产生的废活性炭（不包括900-405-06、772-005-18、261-053-29、265-002-29、384-003-29、387-001-29类危险废物）</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HW49</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900-039-49</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废活性炭、杂质</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固态</w:t>
            </w:r>
          </w:p>
        </w:tc>
        <w:tc>
          <w:tcPr>
            <w:tcW w:w="111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毒性</w:t>
            </w:r>
          </w:p>
        </w:tc>
        <w:tc>
          <w:tcPr>
            <w:tcW w:w="72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50</w:t>
            </w:r>
          </w:p>
        </w:tc>
        <w:tc>
          <w:tcPr>
            <w:tcW w:w="94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吨</w:t>
            </w:r>
          </w:p>
        </w:tc>
        <w:tc>
          <w:tcPr>
            <w:tcW w:w="880"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D10</w:t>
            </w:r>
          </w:p>
        </w:tc>
        <w:tc>
          <w:tcPr>
            <w:tcW w:w="1306"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危险废物经营许可证持有单位</w:t>
            </w:r>
          </w:p>
        </w:tc>
        <w:tc>
          <w:tcPr>
            <w:tcW w:w="1319"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宁夏宁东清大国华环境资源有限公司</w:t>
            </w:r>
          </w:p>
        </w:tc>
        <w:tc>
          <w:tcPr>
            <w:tcW w:w="1513"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NWF(2024]005号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18</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区内转移</w:t>
            </w:r>
          </w:p>
        </w:tc>
        <w:tc>
          <w:tcPr>
            <w:tcW w:w="981"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废包装物</w:t>
            </w:r>
          </w:p>
        </w:tc>
        <w:tc>
          <w:tcPr>
            <w:tcW w:w="977"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含有或沾染毒性、感染性危险废物的废弃包装物、容器、过滤吸附介质</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HW49</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900-041-49</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沾染有机物质</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固态</w:t>
            </w:r>
          </w:p>
        </w:tc>
        <w:tc>
          <w:tcPr>
            <w:tcW w:w="111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毒性</w:t>
            </w:r>
          </w:p>
        </w:tc>
        <w:tc>
          <w:tcPr>
            <w:tcW w:w="72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60</w:t>
            </w:r>
          </w:p>
        </w:tc>
        <w:tc>
          <w:tcPr>
            <w:tcW w:w="94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吨</w:t>
            </w:r>
          </w:p>
        </w:tc>
        <w:tc>
          <w:tcPr>
            <w:tcW w:w="880"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D10</w:t>
            </w:r>
          </w:p>
        </w:tc>
        <w:tc>
          <w:tcPr>
            <w:tcW w:w="1306"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危险废物经营许可证持有单位</w:t>
            </w:r>
          </w:p>
        </w:tc>
        <w:tc>
          <w:tcPr>
            <w:tcW w:w="1319"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宁夏宁东清大国华环境资源有限公司</w:t>
            </w:r>
          </w:p>
        </w:tc>
        <w:tc>
          <w:tcPr>
            <w:tcW w:w="1513"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NWF(2024]005号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19</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区内转移</w:t>
            </w:r>
          </w:p>
        </w:tc>
        <w:tc>
          <w:tcPr>
            <w:tcW w:w="981"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化验室废液</w:t>
            </w:r>
          </w:p>
        </w:tc>
        <w:tc>
          <w:tcPr>
            <w:tcW w:w="977"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生产、研究、开发、教学、环境检测（监测）活动中，化学和生物实验室（不包含感染性医学实验室及医疗机构化验室）产生的含氰、氟、重金属无机废液及无机废液处理产生的残渣、残液，含矿物油、有机溶剂、甲醛有机废液，废酸、废碱，具有危险特性的残留样品，以及沾染上述物质的一次性实验用品（不包括按实验室管理要求进行清洗后的废弃的烧杯、量器、漏斗等实验室用品）、包装物（不包括按实验室管理要求进行清洗后的试剂包装物、容器）、过滤吸附介质等</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HW49</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900-047-49</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有机溶剂</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液态</w:t>
            </w:r>
          </w:p>
        </w:tc>
        <w:tc>
          <w:tcPr>
            <w:tcW w:w="111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毒性, 易燃性</w:t>
            </w:r>
          </w:p>
        </w:tc>
        <w:tc>
          <w:tcPr>
            <w:tcW w:w="72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10</w:t>
            </w:r>
          </w:p>
        </w:tc>
        <w:tc>
          <w:tcPr>
            <w:tcW w:w="94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吨</w:t>
            </w:r>
          </w:p>
        </w:tc>
        <w:tc>
          <w:tcPr>
            <w:tcW w:w="880"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D10</w:t>
            </w:r>
          </w:p>
        </w:tc>
        <w:tc>
          <w:tcPr>
            <w:tcW w:w="1306"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危险废物经营许可证持有单位</w:t>
            </w:r>
          </w:p>
        </w:tc>
        <w:tc>
          <w:tcPr>
            <w:tcW w:w="1319"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宁夏宁东清大国华环境资源有限公司</w:t>
            </w:r>
          </w:p>
        </w:tc>
        <w:tc>
          <w:tcPr>
            <w:tcW w:w="1513"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NWF(2024]005号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20</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区内转移</w:t>
            </w:r>
          </w:p>
        </w:tc>
        <w:tc>
          <w:tcPr>
            <w:tcW w:w="981"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结晶釜残</w:t>
            </w:r>
          </w:p>
        </w:tc>
        <w:tc>
          <w:tcPr>
            <w:tcW w:w="977"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工业生产中作为清洗剂、萃取剂、溶剂或反应介质使用后废弃的有机溶剂，包括苯、苯乙烯、丁醇、丙酮、正己烷、甲苯、邻二甲苯、间二甲苯、对二甲苯、1,2,4-三甲苯、乙苯、乙醇、异丙醇、乙醚、丙醚、乙酸甲酯、乙酸乙酯、乙酸丁酯、丙酸丁酯、苯酚，以及在使用前混合的含有一种或多种上述溶剂的混合/调和溶剂</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HW06</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900-402-06</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乙醇、8-羟基喹啉和焦油</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半固态</w:t>
            </w:r>
          </w:p>
        </w:tc>
        <w:tc>
          <w:tcPr>
            <w:tcW w:w="111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毒性, 易燃性, 反应性</w:t>
            </w:r>
          </w:p>
        </w:tc>
        <w:tc>
          <w:tcPr>
            <w:tcW w:w="72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100</w:t>
            </w:r>
          </w:p>
        </w:tc>
        <w:tc>
          <w:tcPr>
            <w:tcW w:w="94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吨</w:t>
            </w:r>
          </w:p>
        </w:tc>
        <w:tc>
          <w:tcPr>
            <w:tcW w:w="880"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D10</w:t>
            </w:r>
          </w:p>
        </w:tc>
        <w:tc>
          <w:tcPr>
            <w:tcW w:w="1306"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危险废物经营许可证持有单位</w:t>
            </w:r>
          </w:p>
        </w:tc>
        <w:tc>
          <w:tcPr>
            <w:tcW w:w="1319"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宁夏宁东清大国华环境资源有限公司</w:t>
            </w:r>
          </w:p>
        </w:tc>
        <w:tc>
          <w:tcPr>
            <w:tcW w:w="1513"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NWF(2024]005号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21</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区内转移</w:t>
            </w:r>
          </w:p>
        </w:tc>
        <w:tc>
          <w:tcPr>
            <w:tcW w:w="981"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高沸物</w:t>
            </w:r>
          </w:p>
        </w:tc>
        <w:tc>
          <w:tcPr>
            <w:tcW w:w="977"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氯苯、二氯苯生产过程中的蒸馏及分馏残渣</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HW11</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261-026-11</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对二氯苯、邻二氯苯和杂质</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半固态</w:t>
            </w:r>
          </w:p>
        </w:tc>
        <w:tc>
          <w:tcPr>
            <w:tcW w:w="111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毒性</w:t>
            </w:r>
          </w:p>
        </w:tc>
        <w:tc>
          <w:tcPr>
            <w:tcW w:w="72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100</w:t>
            </w:r>
          </w:p>
        </w:tc>
        <w:tc>
          <w:tcPr>
            <w:tcW w:w="94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吨</w:t>
            </w:r>
          </w:p>
        </w:tc>
        <w:tc>
          <w:tcPr>
            <w:tcW w:w="880"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D10</w:t>
            </w:r>
          </w:p>
        </w:tc>
        <w:tc>
          <w:tcPr>
            <w:tcW w:w="1306"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危险废物经营许可证持有单位</w:t>
            </w:r>
          </w:p>
        </w:tc>
        <w:tc>
          <w:tcPr>
            <w:tcW w:w="1319"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宁夏宁东清大国华环境资源有限公司</w:t>
            </w:r>
          </w:p>
        </w:tc>
        <w:tc>
          <w:tcPr>
            <w:tcW w:w="1513"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NWF(2024]005号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22</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区内转移</w:t>
            </w:r>
          </w:p>
        </w:tc>
        <w:tc>
          <w:tcPr>
            <w:tcW w:w="981"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间位油</w:t>
            </w:r>
          </w:p>
        </w:tc>
        <w:tc>
          <w:tcPr>
            <w:tcW w:w="977"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氯苯、二氯苯生产过程中的蒸馏及分馏残渣</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HW11</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261-026-11</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对二氯苯、邻二氯苯和杂质</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半固态</w:t>
            </w:r>
          </w:p>
        </w:tc>
        <w:tc>
          <w:tcPr>
            <w:tcW w:w="111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毒性</w:t>
            </w:r>
          </w:p>
        </w:tc>
        <w:tc>
          <w:tcPr>
            <w:tcW w:w="72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400</w:t>
            </w:r>
          </w:p>
        </w:tc>
        <w:tc>
          <w:tcPr>
            <w:tcW w:w="94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吨</w:t>
            </w:r>
          </w:p>
        </w:tc>
        <w:tc>
          <w:tcPr>
            <w:tcW w:w="880"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D10</w:t>
            </w:r>
          </w:p>
        </w:tc>
        <w:tc>
          <w:tcPr>
            <w:tcW w:w="1306"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危险废物经营许可证持有单位</w:t>
            </w:r>
          </w:p>
        </w:tc>
        <w:tc>
          <w:tcPr>
            <w:tcW w:w="1319"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宁夏宁东清大国华环境资源有限公司</w:t>
            </w:r>
          </w:p>
        </w:tc>
        <w:tc>
          <w:tcPr>
            <w:tcW w:w="1513"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NWF(2024]005号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23</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区内转移</w:t>
            </w:r>
          </w:p>
        </w:tc>
        <w:tc>
          <w:tcPr>
            <w:tcW w:w="981"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污泥</w:t>
            </w:r>
          </w:p>
        </w:tc>
        <w:tc>
          <w:tcPr>
            <w:tcW w:w="977"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其他有机卤化物的生产过程（不包括卤化前的生产工段）中产生的残液、废过滤吸附介质、反应残余物、废水处理污泥（不包括环氧氯丙烷皂化液处理产生的石灰渣）、废催化剂（不包括本名录 HW04、HW06、HW11、HW12、HW13、HW39 类别的危险废物）</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HW45</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261-084-45</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有机物、无机物、杂质</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半固态</w:t>
            </w:r>
          </w:p>
        </w:tc>
        <w:tc>
          <w:tcPr>
            <w:tcW w:w="111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毒性</w:t>
            </w:r>
          </w:p>
        </w:tc>
        <w:tc>
          <w:tcPr>
            <w:tcW w:w="72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300</w:t>
            </w:r>
          </w:p>
        </w:tc>
        <w:tc>
          <w:tcPr>
            <w:tcW w:w="94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吨</w:t>
            </w:r>
          </w:p>
        </w:tc>
        <w:tc>
          <w:tcPr>
            <w:tcW w:w="880"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D10</w:t>
            </w:r>
          </w:p>
        </w:tc>
        <w:tc>
          <w:tcPr>
            <w:tcW w:w="1306"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危险废物经营许可证持有单位</w:t>
            </w:r>
          </w:p>
        </w:tc>
        <w:tc>
          <w:tcPr>
            <w:tcW w:w="1319"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宁夏宁东清大国华环境资源有限公司</w:t>
            </w:r>
          </w:p>
        </w:tc>
        <w:tc>
          <w:tcPr>
            <w:tcW w:w="1513"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NWF(2024]005号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24</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区内转移</w:t>
            </w:r>
          </w:p>
        </w:tc>
        <w:tc>
          <w:tcPr>
            <w:tcW w:w="981"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蒸馏釜残</w:t>
            </w:r>
          </w:p>
        </w:tc>
        <w:tc>
          <w:tcPr>
            <w:tcW w:w="977"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其他化工生产过程（不包括以生物质为主要原料的加工过程）中精馏、蒸馏和热解工艺产生的高沸点釜底残余物</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HW11</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900-013-11</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邻硝基苯酚、邻硝基氯苯、杂质</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半固态</w:t>
            </w:r>
          </w:p>
        </w:tc>
        <w:tc>
          <w:tcPr>
            <w:tcW w:w="111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毒性</w:t>
            </w:r>
          </w:p>
        </w:tc>
        <w:tc>
          <w:tcPr>
            <w:tcW w:w="72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200</w:t>
            </w:r>
          </w:p>
        </w:tc>
        <w:tc>
          <w:tcPr>
            <w:tcW w:w="94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吨</w:t>
            </w:r>
          </w:p>
        </w:tc>
        <w:tc>
          <w:tcPr>
            <w:tcW w:w="880"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D10</w:t>
            </w:r>
          </w:p>
        </w:tc>
        <w:tc>
          <w:tcPr>
            <w:tcW w:w="1306"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危险废物经营许可证持有单位</w:t>
            </w:r>
          </w:p>
        </w:tc>
        <w:tc>
          <w:tcPr>
            <w:tcW w:w="1319"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宁夏宁东清大国华环境资源有限公司</w:t>
            </w:r>
          </w:p>
        </w:tc>
        <w:tc>
          <w:tcPr>
            <w:tcW w:w="1513"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NWF(2024]005号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25</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区内转移</w:t>
            </w:r>
          </w:p>
        </w:tc>
        <w:tc>
          <w:tcPr>
            <w:tcW w:w="981"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甲醚二次蒸馏焦油</w:t>
            </w:r>
          </w:p>
        </w:tc>
        <w:tc>
          <w:tcPr>
            <w:tcW w:w="977"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其他化工生产过程（不包括以生物质为主要原料的加工过程）中精馏、蒸馏和热解工艺产生的高沸点釜底残余物</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HW11</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900-013-11</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有机物、杂质</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半固态</w:t>
            </w:r>
          </w:p>
        </w:tc>
        <w:tc>
          <w:tcPr>
            <w:tcW w:w="111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毒性</w:t>
            </w:r>
          </w:p>
        </w:tc>
        <w:tc>
          <w:tcPr>
            <w:tcW w:w="72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100</w:t>
            </w:r>
          </w:p>
        </w:tc>
        <w:tc>
          <w:tcPr>
            <w:tcW w:w="94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吨</w:t>
            </w:r>
          </w:p>
        </w:tc>
        <w:tc>
          <w:tcPr>
            <w:tcW w:w="880"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D10</w:t>
            </w:r>
          </w:p>
        </w:tc>
        <w:tc>
          <w:tcPr>
            <w:tcW w:w="1306"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危险废物经营许可证持有单位</w:t>
            </w:r>
          </w:p>
        </w:tc>
        <w:tc>
          <w:tcPr>
            <w:tcW w:w="1319"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宁夏宁东清大国华环境资源有限公司</w:t>
            </w:r>
          </w:p>
        </w:tc>
        <w:tc>
          <w:tcPr>
            <w:tcW w:w="1513"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NWF(2024]005号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26</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区内转移</w:t>
            </w:r>
          </w:p>
        </w:tc>
        <w:tc>
          <w:tcPr>
            <w:tcW w:w="981"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废焦油</w:t>
            </w:r>
          </w:p>
        </w:tc>
        <w:tc>
          <w:tcPr>
            <w:tcW w:w="977"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其他化工生产过程（不包括以生物质为主要原料的加工过程）中精馏、蒸馏和热解工艺产生的高沸点釜底残余物</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HW11</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900-013-11</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聚合焦油和杂质</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液态</w:t>
            </w:r>
          </w:p>
        </w:tc>
        <w:tc>
          <w:tcPr>
            <w:tcW w:w="111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毒性</w:t>
            </w:r>
          </w:p>
        </w:tc>
        <w:tc>
          <w:tcPr>
            <w:tcW w:w="72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400</w:t>
            </w:r>
          </w:p>
        </w:tc>
        <w:tc>
          <w:tcPr>
            <w:tcW w:w="94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吨</w:t>
            </w:r>
          </w:p>
        </w:tc>
        <w:tc>
          <w:tcPr>
            <w:tcW w:w="880"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D10</w:t>
            </w:r>
          </w:p>
        </w:tc>
        <w:tc>
          <w:tcPr>
            <w:tcW w:w="1306"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危险废物经营许可证持有单位</w:t>
            </w:r>
          </w:p>
        </w:tc>
        <w:tc>
          <w:tcPr>
            <w:tcW w:w="1319"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宁夏宁东清大国华环境资源有限公司</w:t>
            </w:r>
          </w:p>
        </w:tc>
        <w:tc>
          <w:tcPr>
            <w:tcW w:w="1513"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NWF(2024]005号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27</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区内转移</w:t>
            </w:r>
          </w:p>
        </w:tc>
        <w:tc>
          <w:tcPr>
            <w:tcW w:w="981"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废硫酸</w:t>
            </w:r>
          </w:p>
        </w:tc>
        <w:tc>
          <w:tcPr>
            <w:tcW w:w="977"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卤素和卤素化学品生产过程中产生的废酸</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HW34</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261-058-34</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硫酸</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液态</w:t>
            </w:r>
          </w:p>
        </w:tc>
        <w:tc>
          <w:tcPr>
            <w:tcW w:w="111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腐蚀性</w:t>
            </w:r>
          </w:p>
        </w:tc>
        <w:tc>
          <w:tcPr>
            <w:tcW w:w="72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60</w:t>
            </w:r>
          </w:p>
        </w:tc>
        <w:tc>
          <w:tcPr>
            <w:tcW w:w="94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吨</w:t>
            </w:r>
          </w:p>
        </w:tc>
        <w:tc>
          <w:tcPr>
            <w:tcW w:w="880"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D9</w:t>
            </w:r>
          </w:p>
        </w:tc>
        <w:tc>
          <w:tcPr>
            <w:tcW w:w="1306"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危险废物经营许可证持有单位</w:t>
            </w:r>
          </w:p>
        </w:tc>
        <w:tc>
          <w:tcPr>
            <w:tcW w:w="1319"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宁夏宁东清大国华环境资源有限公司</w:t>
            </w:r>
          </w:p>
        </w:tc>
        <w:tc>
          <w:tcPr>
            <w:tcW w:w="1513"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NWF〔2023〕034号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28</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区内转移</w:t>
            </w:r>
          </w:p>
        </w:tc>
        <w:tc>
          <w:tcPr>
            <w:tcW w:w="981"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废水处理残渣</w:t>
            </w:r>
          </w:p>
        </w:tc>
        <w:tc>
          <w:tcPr>
            <w:tcW w:w="977"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采用物理、化学、物理化学或者生物方法处理或者处置毒性或者感染性危险废物过程中产生的废水处理污泥和废水处理残渣（液）</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HW49</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772-006-49</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毒性有机物、硝酸盐、硫酸盐</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半固态</w:t>
            </w:r>
          </w:p>
        </w:tc>
        <w:tc>
          <w:tcPr>
            <w:tcW w:w="111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毒性</w:t>
            </w:r>
          </w:p>
        </w:tc>
        <w:tc>
          <w:tcPr>
            <w:tcW w:w="72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300</w:t>
            </w:r>
          </w:p>
        </w:tc>
        <w:tc>
          <w:tcPr>
            <w:tcW w:w="94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吨</w:t>
            </w:r>
          </w:p>
        </w:tc>
        <w:tc>
          <w:tcPr>
            <w:tcW w:w="880"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D1</w:t>
            </w:r>
          </w:p>
        </w:tc>
        <w:tc>
          <w:tcPr>
            <w:tcW w:w="1306"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危险废物经营许可证持有单位</w:t>
            </w:r>
          </w:p>
        </w:tc>
        <w:tc>
          <w:tcPr>
            <w:tcW w:w="1319"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宁夏宁东清大国华环境资源有限公司</w:t>
            </w:r>
          </w:p>
        </w:tc>
        <w:tc>
          <w:tcPr>
            <w:tcW w:w="1513"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NWF〔2023〕034号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29</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区内转移</w:t>
            </w:r>
          </w:p>
        </w:tc>
        <w:tc>
          <w:tcPr>
            <w:tcW w:w="981"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废岩棉</w:t>
            </w:r>
          </w:p>
        </w:tc>
        <w:tc>
          <w:tcPr>
            <w:tcW w:w="977"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其他生产过程中产生的石棉废物</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HW36</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900-030-36</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沾染有机物</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固态</w:t>
            </w:r>
          </w:p>
        </w:tc>
        <w:tc>
          <w:tcPr>
            <w:tcW w:w="111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毒性</w:t>
            </w:r>
          </w:p>
        </w:tc>
        <w:tc>
          <w:tcPr>
            <w:tcW w:w="72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100</w:t>
            </w:r>
          </w:p>
        </w:tc>
        <w:tc>
          <w:tcPr>
            <w:tcW w:w="94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吨</w:t>
            </w:r>
          </w:p>
        </w:tc>
        <w:tc>
          <w:tcPr>
            <w:tcW w:w="880"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D1</w:t>
            </w:r>
          </w:p>
        </w:tc>
        <w:tc>
          <w:tcPr>
            <w:tcW w:w="1306"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危险废物经营许可证持有单位</w:t>
            </w:r>
          </w:p>
        </w:tc>
        <w:tc>
          <w:tcPr>
            <w:tcW w:w="1319"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宁夏宁东清大国华环境资源有限公司</w:t>
            </w:r>
          </w:p>
        </w:tc>
        <w:tc>
          <w:tcPr>
            <w:tcW w:w="1513"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NWF〔2023〕034号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30</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跨区转移</w:t>
            </w:r>
          </w:p>
        </w:tc>
        <w:tc>
          <w:tcPr>
            <w:tcW w:w="981"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废硫酸</w:t>
            </w:r>
          </w:p>
        </w:tc>
        <w:tc>
          <w:tcPr>
            <w:tcW w:w="977"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卤素和卤素化学品生产过程中产生的废酸</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HW34</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261-058-34</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硫酸</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液态</w:t>
            </w:r>
          </w:p>
        </w:tc>
        <w:tc>
          <w:tcPr>
            <w:tcW w:w="111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腐蚀性</w:t>
            </w:r>
          </w:p>
        </w:tc>
        <w:tc>
          <w:tcPr>
            <w:tcW w:w="72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4500</w:t>
            </w:r>
          </w:p>
        </w:tc>
        <w:tc>
          <w:tcPr>
            <w:tcW w:w="94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吨</w:t>
            </w:r>
          </w:p>
        </w:tc>
        <w:tc>
          <w:tcPr>
            <w:tcW w:w="880"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R5</w:t>
            </w:r>
          </w:p>
        </w:tc>
        <w:tc>
          <w:tcPr>
            <w:tcW w:w="1306"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危险废物经营许可证持有单位</w:t>
            </w:r>
          </w:p>
        </w:tc>
        <w:tc>
          <w:tcPr>
            <w:tcW w:w="1319"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内蒙古利康新材料有限公司</w:t>
            </w:r>
          </w:p>
        </w:tc>
        <w:tc>
          <w:tcPr>
            <w:tcW w:w="1513"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1503040026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31</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区内转移</w:t>
            </w:r>
          </w:p>
        </w:tc>
        <w:tc>
          <w:tcPr>
            <w:tcW w:w="981"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废硫酸</w:t>
            </w:r>
          </w:p>
        </w:tc>
        <w:tc>
          <w:tcPr>
            <w:tcW w:w="977"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卤素和卤素化学品生产过程中产生的废酸</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HW34</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261-058-34</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硫酸</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液态</w:t>
            </w:r>
          </w:p>
        </w:tc>
        <w:tc>
          <w:tcPr>
            <w:tcW w:w="111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腐蚀性</w:t>
            </w:r>
          </w:p>
        </w:tc>
        <w:tc>
          <w:tcPr>
            <w:tcW w:w="72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1000</w:t>
            </w:r>
          </w:p>
        </w:tc>
        <w:tc>
          <w:tcPr>
            <w:tcW w:w="94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吨</w:t>
            </w:r>
          </w:p>
        </w:tc>
        <w:tc>
          <w:tcPr>
            <w:tcW w:w="880"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R6</w:t>
            </w:r>
          </w:p>
        </w:tc>
        <w:tc>
          <w:tcPr>
            <w:tcW w:w="1306"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危险废物经营许可证持有单位</w:t>
            </w:r>
          </w:p>
        </w:tc>
        <w:tc>
          <w:tcPr>
            <w:tcW w:w="1319"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青铜峡市利源工贸有限公司</w:t>
            </w:r>
          </w:p>
        </w:tc>
        <w:tc>
          <w:tcPr>
            <w:tcW w:w="1513"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NWF[2021]014号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32</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区内转移</w:t>
            </w:r>
          </w:p>
        </w:tc>
        <w:tc>
          <w:tcPr>
            <w:tcW w:w="981"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废镍催化剂</w:t>
            </w:r>
          </w:p>
        </w:tc>
        <w:tc>
          <w:tcPr>
            <w:tcW w:w="977"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废弃的镍催化剂</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HW46</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900-037-46</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镍、高沸物、杂质</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固态</w:t>
            </w:r>
          </w:p>
        </w:tc>
        <w:tc>
          <w:tcPr>
            <w:tcW w:w="111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毒性, 易燃性</w:t>
            </w:r>
          </w:p>
        </w:tc>
        <w:tc>
          <w:tcPr>
            <w:tcW w:w="72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150</w:t>
            </w:r>
          </w:p>
        </w:tc>
        <w:tc>
          <w:tcPr>
            <w:tcW w:w="94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吨</w:t>
            </w:r>
          </w:p>
        </w:tc>
        <w:tc>
          <w:tcPr>
            <w:tcW w:w="880"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R4</w:t>
            </w:r>
          </w:p>
        </w:tc>
        <w:tc>
          <w:tcPr>
            <w:tcW w:w="1306"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危险废物经营许可证持有单位</w:t>
            </w:r>
          </w:p>
        </w:tc>
        <w:tc>
          <w:tcPr>
            <w:tcW w:w="1319"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宁夏鸿盛达环保产业有限公司</w:t>
            </w:r>
          </w:p>
        </w:tc>
        <w:tc>
          <w:tcPr>
            <w:tcW w:w="1513"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NWF[2023]011号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33</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区内转移</w:t>
            </w:r>
          </w:p>
        </w:tc>
        <w:tc>
          <w:tcPr>
            <w:tcW w:w="981"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废活性炭/抽滤废渣</w:t>
            </w:r>
          </w:p>
        </w:tc>
        <w:tc>
          <w:tcPr>
            <w:tcW w:w="977"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烟气、VOCs治理过程（不包括餐饮行业油烟治理过程）产生的废活性炭，化学原料和化学制品脱色（不包括有机合成食品添加剂脱色）、除杂、净化过程产生的废活性炭（不包括900-405-06、772-005-18、261-053-29、265-002-29、384-003-29、387-001-29类危险废物）</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HW49</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900-039-49</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废活性炭、杂质</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固态</w:t>
            </w:r>
          </w:p>
        </w:tc>
        <w:tc>
          <w:tcPr>
            <w:tcW w:w="111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毒性</w:t>
            </w:r>
          </w:p>
        </w:tc>
        <w:tc>
          <w:tcPr>
            <w:tcW w:w="72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200</w:t>
            </w:r>
          </w:p>
        </w:tc>
        <w:tc>
          <w:tcPr>
            <w:tcW w:w="94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吨</w:t>
            </w:r>
          </w:p>
        </w:tc>
        <w:tc>
          <w:tcPr>
            <w:tcW w:w="880"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R4</w:t>
            </w:r>
          </w:p>
        </w:tc>
        <w:tc>
          <w:tcPr>
            <w:tcW w:w="1306"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危险废物经营许可证持有单位</w:t>
            </w:r>
          </w:p>
        </w:tc>
        <w:tc>
          <w:tcPr>
            <w:tcW w:w="1319"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宁夏鸿盛达环保产业有限公司</w:t>
            </w:r>
          </w:p>
        </w:tc>
        <w:tc>
          <w:tcPr>
            <w:tcW w:w="1513"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NWF[2023]011号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34</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区内转移</w:t>
            </w:r>
          </w:p>
        </w:tc>
        <w:tc>
          <w:tcPr>
            <w:tcW w:w="981"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压滤固废</w:t>
            </w:r>
          </w:p>
        </w:tc>
        <w:tc>
          <w:tcPr>
            <w:tcW w:w="977"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有机溶剂生产过程中产生的废催化剂</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HW50</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261-152-50</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氢氧化铜、二苯醚、苯酚、氯化苯等</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固态</w:t>
            </w:r>
          </w:p>
        </w:tc>
        <w:tc>
          <w:tcPr>
            <w:tcW w:w="111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毒性</w:t>
            </w:r>
          </w:p>
        </w:tc>
        <w:tc>
          <w:tcPr>
            <w:tcW w:w="72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60</w:t>
            </w:r>
          </w:p>
        </w:tc>
        <w:tc>
          <w:tcPr>
            <w:tcW w:w="94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吨</w:t>
            </w:r>
          </w:p>
        </w:tc>
        <w:tc>
          <w:tcPr>
            <w:tcW w:w="880"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R4</w:t>
            </w:r>
          </w:p>
        </w:tc>
        <w:tc>
          <w:tcPr>
            <w:tcW w:w="1306"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危险废物经营许可证持有单位</w:t>
            </w:r>
          </w:p>
        </w:tc>
        <w:tc>
          <w:tcPr>
            <w:tcW w:w="1319"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宁夏鸿盛达环保产业有限公司</w:t>
            </w:r>
          </w:p>
        </w:tc>
        <w:tc>
          <w:tcPr>
            <w:tcW w:w="1513"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NWF[2023]011号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35</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跨区转移</w:t>
            </w:r>
          </w:p>
        </w:tc>
        <w:tc>
          <w:tcPr>
            <w:tcW w:w="981"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废活性炭/抽滤废渣</w:t>
            </w:r>
          </w:p>
        </w:tc>
        <w:tc>
          <w:tcPr>
            <w:tcW w:w="977"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烟气、VOCs治理过程（不包括餐饮行业油烟治理过程）产生的废活性炭，化学原料和化学制品脱色（不包括有机合成食品添加剂脱色）、除杂、净化过程产生的废活性炭（不包括900-405-06、772-005-18、261-053-29、265-002-29、384-003-29、387-001-29类危险废物）</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HW49</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900-039-49</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废活性炭、杂质</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固态</w:t>
            </w:r>
          </w:p>
        </w:tc>
        <w:tc>
          <w:tcPr>
            <w:tcW w:w="111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毒性</w:t>
            </w:r>
          </w:p>
        </w:tc>
        <w:tc>
          <w:tcPr>
            <w:tcW w:w="72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100</w:t>
            </w:r>
          </w:p>
        </w:tc>
        <w:tc>
          <w:tcPr>
            <w:tcW w:w="94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吨</w:t>
            </w:r>
          </w:p>
        </w:tc>
        <w:tc>
          <w:tcPr>
            <w:tcW w:w="880"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R15</w:t>
            </w:r>
          </w:p>
        </w:tc>
        <w:tc>
          <w:tcPr>
            <w:tcW w:w="1306"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危险废物经营许可证持有单位</w:t>
            </w:r>
          </w:p>
        </w:tc>
        <w:tc>
          <w:tcPr>
            <w:tcW w:w="1319"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河南利源环保有限公司</w:t>
            </w:r>
          </w:p>
        </w:tc>
        <w:tc>
          <w:tcPr>
            <w:tcW w:w="1513"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豫环危废字129号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36</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跨区转移</w:t>
            </w:r>
          </w:p>
        </w:tc>
        <w:tc>
          <w:tcPr>
            <w:tcW w:w="981"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废镍催化剂</w:t>
            </w:r>
          </w:p>
        </w:tc>
        <w:tc>
          <w:tcPr>
            <w:tcW w:w="977"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废弃的镍催化剂</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HW46</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900-037-46</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镍、高沸物、杂质</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固态</w:t>
            </w:r>
          </w:p>
        </w:tc>
        <w:tc>
          <w:tcPr>
            <w:tcW w:w="111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毒性, 易燃性</w:t>
            </w:r>
          </w:p>
        </w:tc>
        <w:tc>
          <w:tcPr>
            <w:tcW w:w="72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60</w:t>
            </w:r>
          </w:p>
        </w:tc>
        <w:tc>
          <w:tcPr>
            <w:tcW w:w="94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吨</w:t>
            </w:r>
          </w:p>
        </w:tc>
        <w:tc>
          <w:tcPr>
            <w:tcW w:w="880"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R4</w:t>
            </w:r>
          </w:p>
        </w:tc>
        <w:tc>
          <w:tcPr>
            <w:tcW w:w="1306"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危险废物经营许可证持有单位</w:t>
            </w:r>
          </w:p>
        </w:tc>
        <w:tc>
          <w:tcPr>
            <w:tcW w:w="1319"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河南利源环保有限公司</w:t>
            </w:r>
          </w:p>
        </w:tc>
        <w:tc>
          <w:tcPr>
            <w:tcW w:w="1513"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豫环危废字129号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37</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跨区转移</w:t>
            </w:r>
          </w:p>
        </w:tc>
        <w:tc>
          <w:tcPr>
            <w:tcW w:w="981"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压滤固废</w:t>
            </w:r>
          </w:p>
        </w:tc>
        <w:tc>
          <w:tcPr>
            <w:tcW w:w="977"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有机溶剂生产过程中产生的废催化剂</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HW50</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261-152-50</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氢氧化铜、二苯醚、苯酚、氯化苯等</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固态</w:t>
            </w:r>
          </w:p>
        </w:tc>
        <w:tc>
          <w:tcPr>
            <w:tcW w:w="111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毒性</w:t>
            </w:r>
          </w:p>
        </w:tc>
        <w:tc>
          <w:tcPr>
            <w:tcW w:w="72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60</w:t>
            </w:r>
          </w:p>
        </w:tc>
        <w:tc>
          <w:tcPr>
            <w:tcW w:w="94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吨</w:t>
            </w:r>
          </w:p>
        </w:tc>
        <w:tc>
          <w:tcPr>
            <w:tcW w:w="880"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R4</w:t>
            </w:r>
          </w:p>
        </w:tc>
        <w:tc>
          <w:tcPr>
            <w:tcW w:w="1306"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危险废物经营许可证持有单位</w:t>
            </w:r>
          </w:p>
        </w:tc>
        <w:tc>
          <w:tcPr>
            <w:tcW w:w="1319"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河南利源环保有限公司</w:t>
            </w:r>
          </w:p>
        </w:tc>
        <w:tc>
          <w:tcPr>
            <w:tcW w:w="1513"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豫环危废字129号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38</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区内转移</w:t>
            </w:r>
          </w:p>
        </w:tc>
        <w:tc>
          <w:tcPr>
            <w:tcW w:w="981"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废水处理残渣</w:t>
            </w:r>
          </w:p>
        </w:tc>
        <w:tc>
          <w:tcPr>
            <w:tcW w:w="977"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采用物理、化学、物理化学或者生物方法处理或者处置毒性或者感染性危险废物过程中产生的废水处理污泥和废水处理残渣（液）</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HW49</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772-006-49</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毒性有机物、硝酸盐、硫酸盐</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半固态</w:t>
            </w:r>
          </w:p>
        </w:tc>
        <w:tc>
          <w:tcPr>
            <w:tcW w:w="111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毒性</w:t>
            </w:r>
          </w:p>
        </w:tc>
        <w:tc>
          <w:tcPr>
            <w:tcW w:w="72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2000</w:t>
            </w:r>
          </w:p>
        </w:tc>
        <w:tc>
          <w:tcPr>
            <w:tcW w:w="94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吨</w:t>
            </w:r>
          </w:p>
        </w:tc>
        <w:tc>
          <w:tcPr>
            <w:tcW w:w="880"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D1</w:t>
            </w:r>
          </w:p>
        </w:tc>
        <w:tc>
          <w:tcPr>
            <w:tcW w:w="1306"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危险废物经营许可证持有单位</w:t>
            </w:r>
          </w:p>
        </w:tc>
        <w:tc>
          <w:tcPr>
            <w:tcW w:w="1319"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宁夏上峰萌生环保科技有限公司</w:t>
            </w:r>
          </w:p>
        </w:tc>
        <w:tc>
          <w:tcPr>
            <w:tcW w:w="1513"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NWF〔2023〕006号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39</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区内转移</w:t>
            </w:r>
          </w:p>
        </w:tc>
        <w:tc>
          <w:tcPr>
            <w:tcW w:w="981"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蒸馏釜残（硝基酚装置）</w:t>
            </w:r>
          </w:p>
        </w:tc>
        <w:tc>
          <w:tcPr>
            <w:tcW w:w="977"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其他化工生产过程（不包括以生物质为主要原料的加工过程）中精馏、蒸馏和热解工艺产生的高沸点釜底残余物</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HW11</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900-013-11</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含焦油、杂质和8-羟基喹啉</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半固态</w:t>
            </w:r>
          </w:p>
        </w:tc>
        <w:tc>
          <w:tcPr>
            <w:tcW w:w="111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毒性</w:t>
            </w:r>
          </w:p>
        </w:tc>
        <w:tc>
          <w:tcPr>
            <w:tcW w:w="72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100</w:t>
            </w:r>
          </w:p>
        </w:tc>
        <w:tc>
          <w:tcPr>
            <w:tcW w:w="94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吨</w:t>
            </w:r>
          </w:p>
        </w:tc>
        <w:tc>
          <w:tcPr>
            <w:tcW w:w="880"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C1</w:t>
            </w:r>
          </w:p>
        </w:tc>
        <w:tc>
          <w:tcPr>
            <w:tcW w:w="1306"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危险废物经营许可证持有单位</w:t>
            </w:r>
          </w:p>
        </w:tc>
        <w:tc>
          <w:tcPr>
            <w:tcW w:w="1319"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宁夏上峰萌生环保科技有限公司</w:t>
            </w:r>
          </w:p>
        </w:tc>
        <w:tc>
          <w:tcPr>
            <w:tcW w:w="1513"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NWF[2024]025号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40</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区内转移</w:t>
            </w:r>
          </w:p>
        </w:tc>
        <w:tc>
          <w:tcPr>
            <w:tcW w:w="981"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蒸馏釜残</w:t>
            </w:r>
          </w:p>
        </w:tc>
        <w:tc>
          <w:tcPr>
            <w:tcW w:w="977"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其他化工生产过程（不包括以生物质为主要原料的加工过程）中精馏、蒸馏和热解工艺产生的高沸点釜底残余物</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HW11</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900-013-11</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邻硝基苯酚、邻硝基氯苯、杂质</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半固态</w:t>
            </w:r>
          </w:p>
        </w:tc>
        <w:tc>
          <w:tcPr>
            <w:tcW w:w="111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毒性</w:t>
            </w:r>
          </w:p>
        </w:tc>
        <w:tc>
          <w:tcPr>
            <w:tcW w:w="72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300</w:t>
            </w:r>
          </w:p>
        </w:tc>
        <w:tc>
          <w:tcPr>
            <w:tcW w:w="94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吨</w:t>
            </w:r>
          </w:p>
        </w:tc>
        <w:tc>
          <w:tcPr>
            <w:tcW w:w="880"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C1</w:t>
            </w:r>
          </w:p>
        </w:tc>
        <w:tc>
          <w:tcPr>
            <w:tcW w:w="1306"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危险废物经营许可证持有单位</w:t>
            </w:r>
          </w:p>
        </w:tc>
        <w:tc>
          <w:tcPr>
            <w:tcW w:w="1319"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宁夏上峰萌生环保科技有限公司</w:t>
            </w:r>
          </w:p>
        </w:tc>
        <w:tc>
          <w:tcPr>
            <w:tcW w:w="1513"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NWF[2024]025号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41</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区内转移</w:t>
            </w:r>
          </w:p>
        </w:tc>
        <w:tc>
          <w:tcPr>
            <w:tcW w:w="981"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废树脂</w:t>
            </w:r>
          </w:p>
        </w:tc>
        <w:tc>
          <w:tcPr>
            <w:tcW w:w="977"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湿法冶金、表面处理和制药行业重金属、抗生素提取、分离过程产生的废弃离子交换树脂，以及工业废水处理过程产生的废弃离子交换树脂</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HW13</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900-015-13</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苯乙烯、杂质</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固态</w:t>
            </w:r>
          </w:p>
        </w:tc>
        <w:tc>
          <w:tcPr>
            <w:tcW w:w="111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毒性</w:t>
            </w:r>
          </w:p>
        </w:tc>
        <w:tc>
          <w:tcPr>
            <w:tcW w:w="72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10</w:t>
            </w:r>
          </w:p>
        </w:tc>
        <w:tc>
          <w:tcPr>
            <w:tcW w:w="94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吨</w:t>
            </w:r>
          </w:p>
        </w:tc>
        <w:tc>
          <w:tcPr>
            <w:tcW w:w="880"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C1</w:t>
            </w:r>
          </w:p>
        </w:tc>
        <w:tc>
          <w:tcPr>
            <w:tcW w:w="1306"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危险废物经营许可证持有单位</w:t>
            </w:r>
          </w:p>
        </w:tc>
        <w:tc>
          <w:tcPr>
            <w:tcW w:w="1319"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宁夏上峰萌生环保科技有限公司</w:t>
            </w:r>
          </w:p>
        </w:tc>
        <w:tc>
          <w:tcPr>
            <w:tcW w:w="1513"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NWF[2024]025号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42</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区内转移</w:t>
            </w:r>
          </w:p>
        </w:tc>
        <w:tc>
          <w:tcPr>
            <w:tcW w:w="981"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废焦油</w:t>
            </w:r>
          </w:p>
        </w:tc>
        <w:tc>
          <w:tcPr>
            <w:tcW w:w="977"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其他化工生产过程（不包括以生物质为主要原料的加工过程）中精馏、蒸馏和热解工艺产生的高沸点釜底残余物</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HW11</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900-013-11</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聚合焦油和杂质</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液态</w:t>
            </w:r>
          </w:p>
        </w:tc>
        <w:tc>
          <w:tcPr>
            <w:tcW w:w="111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毒性</w:t>
            </w:r>
          </w:p>
        </w:tc>
        <w:tc>
          <w:tcPr>
            <w:tcW w:w="72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100</w:t>
            </w:r>
          </w:p>
        </w:tc>
        <w:tc>
          <w:tcPr>
            <w:tcW w:w="94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吨</w:t>
            </w:r>
          </w:p>
        </w:tc>
        <w:tc>
          <w:tcPr>
            <w:tcW w:w="880"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C1</w:t>
            </w:r>
          </w:p>
        </w:tc>
        <w:tc>
          <w:tcPr>
            <w:tcW w:w="1306"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危险废物经营许可证持有单位</w:t>
            </w:r>
          </w:p>
        </w:tc>
        <w:tc>
          <w:tcPr>
            <w:tcW w:w="1319"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宁夏上峰萌生环保科技有限公司</w:t>
            </w:r>
          </w:p>
        </w:tc>
        <w:tc>
          <w:tcPr>
            <w:tcW w:w="1513"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NWF[2024]025号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43</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区内转移</w:t>
            </w:r>
          </w:p>
        </w:tc>
        <w:tc>
          <w:tcPr>
            <w:tcW w:w="981"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甲醚二次蒸馏焦油</w:t>
            </w:r>
          </w:p>
        </w:tc>
        <w:tc>
          <w:tcPr>
            <w:tcW w:w="977"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其他化工生产过程（不包括以生物质为主要原料的加工过程）中精馏、蒸馏和热解工艺产生的高沸点釜底残余物</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HW11</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900-013-11</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有机物、杂质</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半固态</w:t>
            </w:r>
          </w:p>
        </w:tc>
        <w:tc>
          <w:tcPr>
            <w:tcW w:w="111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毒性</w:t>
            </w:r>
          </w:p>
        </w:tc>
        <w:tc>
          <w:tcPr>
            <w:tcW w:w="72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200</w:t>
            </w:r>
          </w:p>
        </w:tc>
        <w:tc>
          <w:tcPr>
            <w:tcW w:w="94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吨</w:t>
            </w:r>
          </w:p>
        </w:tc>
        <w:tc>
          <w:tcPr>
            <w:tcW w:w="880"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C1</w:t>
            </w:r>
          </w:p>
        </w:tc>
        <w:tc>
          <w:tcPr>
            <w:tcW w:w="1306"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危险废物经营许可证持有单位</w:t>
            </w:r>
          </w:p>
        </w:tc>
        <w:tc>
          <w:tcPr>
            <w:tcW w:w="1319"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宁夏上峰萌生环保科技有限公司</w:t>
            </w:r>
          </w:p>
        </w:tc>
        <w:tc>
          <w:tcPr>
            <w:tcW w:w="1513"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NWF[2024]025号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44</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区内转移</w:t>
            </w:r>
          </w:p>
        </w:tc>
        <w:tc>
          <w:tcPr>
            <w:tcW w:w="981"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产品精制焦油（精蒸馏残渣）</w:t>
            </w:r>
          </w:p>
        </w:tc>
        <w:tc>
          <w:tcPr>
            <w:tcW w:w="977"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其他化工生产过程（不包括以生物质为主要原料的加工过程）中精馏、蒸馏和热解工艺产生的高沸点釜底残余物</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HW11</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900-013-11</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邻、对、间硝基氯苯、杂质</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液态</w:t>
            </w:r>
          </w:p>
        </w:tc>
        <w:tc>
          <w:tcPr>
            <w:tcW w:w="111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毒性</w:t>
            </w:r>
          </w:p>
        </w:tc>
        <w:tc>
          <w:tcPr>
            <w:tcW w:w="72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300</w:t>
            </w:r>
          </w:p>
        </w:tc>
        <w:tc>
          <w:tcPr>
            <w:tcW w:w="94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吨</w:t>
            </w:r>
          </w:p>
        </w:tc>
        <w:tc>
          <w:tcPr>
            <w:tcW w:w="880"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C1</w:t>
            </w:r>
          </w:p>
        </w:tc>
        <w:tc>
          <w:tcPr>
            <w:tcW w:w="1306"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危险废物经营许可证持有单位</w:t>
            </w:r>
          </w:p>
        </w:tc>
        <w:tc>
          <w:tcPr>
            <w:tcW w:w="1319"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宁夏上峰萌生环保科技有限公司</w:t>
            </w:r>
          </w:p>
        </w:tc>
        <w:tc>
          <w:tcPr>
            <w:tcW w:w="1513"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NWF[2024]025号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45</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区内转移</w:t>
            </w:r>
          </w:p>
        </w:tc>
        <w:tc>
          <w:tcPr>
            <w:tcW w:w="981"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粗制下脚/精制下脚</w:t>
            </w:r>
          </w:p>
        </w:tc>
        <w:tc>
          <w:tcPr>
            <w:tcW w:w="977"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其他化工生产过程（不包括以生物质为主要原料的加工过程）中精馏、蒸馏和热解工艺产生的高沸点釜底残余物</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HW11</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900-013-11</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二苯醚、苯酚、杂质</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固态</w:t>
            </w:r>
          </w:p>
        </w:tc>
        <w:tc>
          <w:tcPr>
            <w:tcW w:w="111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毒性</w:t>
            </w:r>
          </w:p>
        </w:tc>
        <w:tc>
          <w:tcPr>
            <w:tcW w:w="72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300</w:t>
            </w:r>
          </w:p>
        </w:tc>
        <w:tc>
          <w:tcPr>
            <w:tcW w:w="94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吨</w:t>
            </w:r>
          </w:p>
        </w:tc>
        <w:tc>
          <w:tcPr>
            <w:tcW w:w="880"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C1</w:t>
            </w:r>
          </w:p>
        </w:tc>
        <w:tc>
          <w:tcPr>
            <w:tcW w:w="1306"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危险废物经营许可证持有单位</w:t>
            </w:r>
          </w:p>
        </w:tc>
        <w:tc>
          <w:tcPr>
            <w:tcW w:w="1319"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宁夏上峰萌生环保科技有限公司</w:t>
            </w:r>
          </w:p>
        </w:tc>
        <w:tc>
          <w:tcPr>
            <w:tcW w:w="1513"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NWF[2024]025号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46</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区内转移</w:t>
            </w:r>
          </w:p>
        </w:tc>
        <w:tc>
          <w:tcPr>
            <w:tcW w:w="981"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废水处理残渣</w:t>
            </w:r>
          </w:p>
        </w:tc>
        <w:tc>
          <w:tcPr>
            <w:tcW w:w="977"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采用物理、化学、物理化学或者生物方法处理或者处置毒性或者感染性危险废物过程中产生的废水处理污泥和废水处理残渣（液）</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HW49</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772-006-49</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毒性有机物、硝酸盐、硫酸盐</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半固态</w:t>
            </w:r>
          </w:p>
        </w:tc>
        <w:tc>
          <w:tcPr>
            <w:tcW w:w="111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毒性</w:t>
            </w:r>
          </w:p>
        </w:tc>
        <w:tc>
          <w:tcPr>
            <w:tcW w:w="72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2000</w:t>
            </w:r>
          </w:p>
        </w:tc>
        <w:tc>
          <w:tcPr>
            <w:tcW w:w="94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吨</w:t>
            </w:r>
          </w:p>
        </w:tc>
        <w:tc>
          <w:tcPr>
            <w:tcW w:w="880"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D1</w:t>
            </w:r>
          </w:p>
        </w:tc>
        <w:tc>
          <w:tcPr>
            <w:tcW w:w="1306"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危险废物经营许可证持有单位</w:t>
            </w:r>
          </w:p>
        </w:tc>
        <w:tc>
          <w:tcPr>
            <w:tcW w:w="1319"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宁夏宸宇环保科技有限公司</w:t>
            </w:r>
          </w:p>
        </w:tc>
        <w:tc>
          <w:tcPr>
            <w:tcW w:w="1513"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NWF[2022]016号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47</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区内转移</w:t>
            </w:r>
          </w:p>
        </w:tc>
        <w:tc>
          <w:tcPr>
            <w:tcW w:w="981"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废水处理残渣</w:t>
            </w:r>
          </w:p>
        </w:tc>
        <w:tc>
          <w:tcPr>
            <w:tcW w:w="977"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采用物理、化学、物理化学或者生物方法处理或者处置毒性或者感染性危险废物过程中产生的废水处理污泥和废水处理残渣（液）</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HW49</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772-006-49</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毒性有机物、硝酸盐、硫酸盐</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半固态</w:t>
            </w:r>
          </w:p>
        </w:tc>
        <w:tc>
          <w:tcPr>
            <w:tcW w:w="111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毒性</w:t>
            </w:r>
          </w:p>
        </w:tc>
        <w:tc>
          <w:tcPr>
            <w:tcW w:w="72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2000</w:t>
            </w:r>
          </w:p>
        </w:tc>
        <w:tc>
          <w:tcPr>
            <w:tcW w:w="94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吨</w:t>
            </w:r>
          </w:p>
        </w:tc>
        <w:tc>
          <w:tcPr>
            <w:tcW w:w="880"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D1</w:t>
            </w:r>
          </w:p>
        </w:tc>
        <w:tc>
          <w:tcPr>
            <w:tcW w:w="1306"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危险废物经营许可证持有单位</w:t>
            </w:r>
          </w:p>
        </w:tc>
        <w:tc>
          <w:tcPr>
            <w:tcW w:w="1319"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宁夏青圣环境科技有限公司</w:t>
            </w:r>
          </w:p>
        </w:tc>
        <w:tc>
          <w:tcPr>
            <w:tcW w:w="1513"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NWF[2024]024号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48</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区内转移</w:t>
            </w:r>
          </w:p>
        </w:tc>
        <w:tc>
          <w:tcPr>
            <w:tcW w:w="981"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废水处理残渣</w:t>
            </w:r>
          </w:p>
        </w:tc>
        <w:tc>
          <w:tcPr>
            <w:tcW w:w="977"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采用物理、化学、物理化学或者生物方法处理或者处置毒性或者感染性危险废物过程中产生的废水处理污泥和废水处理残渣（液）</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HW49</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772-006-49</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毒性有机物、硝酸盐、硫酸盐</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半固态</w:t>
            </w:r>
          </w:p>
        </w:tc>
        <w:tc>
          <w:tcPr>
            <w:tcW w:w="111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毒性</w:t>
            </w:r>
          </w:p>
        </w:tc>
        <w:tc>
          <w:tcPr>
            <w:tcW w:w="72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2000</w:t>
            </w:r>
          </w:p>
        </w:tc>
        <w:tc>
          <w:tcPr>
            <w:tcW w:w="94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吨</w:t>
            </w:r>
          </w:p>
        </w:tc>
        <w:tc>
          <w:tcPr>
            <w:tcW w:w="880"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D1</w:t>
            </w:r>
          </w:p>
        </w:tc>
        <w:tc>
          <w:tcPr>
            <w:tcW w:w="1306"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危险废物经营许可证持有单位</w:t>
            </w:r>
          </w:p>
        </w:tc>
        <w:tc>
          <w:tcPr>
            <w:tcW w:w="1319"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宁夏宸宇环保科技有限公司</w:t>
            </w:r>
          </w:p>
        </w:tc>
        <w:tc>
          <w:tcPr>
            <w:tcW w:w="1513"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NWF[2024]007号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49</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跨区转移</w:t>
            </w:r>
          </w:p>
        </w:tc>
        <w:tc>
          <w:tcPr>
            <w:tcW w:w="981"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蒸馏釜残（硝基酚装置）</w:t>
            </w:r>
          </w:p>
        </w:tc>
        <w:tc>
          <w:tcPr>
            <w:tcW w:w="977"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其他化工生产过程（不包括以生物质为主要原料的加工过程）中精馏、蒸馏和热解工艺产生的高沸点釜底残余物</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HW11</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900-013-11</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含焦油、杂质和8-羟基喹啉</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半固态</w:t>
            </w:r>
          </w:p>
        </w:tc>
        <w:tc>
          <w:tcPr>
            <w:tcW w:w="111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毒性</w:t>
            </w:r>
          </w:p>
        </w:tc>
        <w:tc>
          <w:tcPr>
            <w:tcW w:w="72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100</w:t>
            </w:r>
          </w:p>
        </w:tc>
        <w:tc>
          <w:tcPr>
            <w:tcW w:w="94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吨</w:t>
            </w:r>
          </w:p>
        </w:tc>
        <w:tc>
          <w:tcPr>
            <w:tcW w:w="880"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R2</w:t>
            </w:r>
          </w:p>
        </w:tc>
        <w:tc>
          <w:tcPr>
            <w:tcW w:w="1306"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危险废物经营许可证持有单位</w:t>
            </w:r>
          </w:p>
        </w:tc>
        <w:tc>
          <w:tcPr>
            <w:tcW w:w="1319"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内蒙古珑澄能源有限公司</w:t>
            </w:r>
          </w:p>
        </w:tc>
        <w:tc>
          <w:tcPr>
            <w:tcW w:w="1513"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1509270154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50</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跨区转移</w:t>
            </w:r>
          </w:p>
        </w:tc>
        <w:tc>
          <w:tcPr>
            <w:tcW w:w="981"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产品精制焦油（精蒸馏残渣）</w:t>
            </w:r>
          </w:p>
        </w:tc>
        <w:tc>
          <w:tcPr>
            <w:tcW w:w="977"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其他化工生产过程（不包括以生物质为主要原料的加工过程）中精馏、蒸馏和热解工艺产生的高沸点釜底残余物</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HW11</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900-013-11</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邻、对、间硝基氯苯、杂质</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液态</w:t>
            </w:r>
          </w:p>
        </w:tc>
        <w:tc>
          <w:tcPr>
            <w:tcW w:w="111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毒性</w:t>
            </w:r>
          </w:p>
        </w:tc>
        <w:tc>
          <w:tcPr>
            <w:tcW w:w="72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200</w:t>
            </w:r>
          </w:p>
        </w:tc>
        <w:tc>
          <w:tcPr>
            <w:tcW w:w="94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吨</w:t>
            </w:r>
          </w:p>
        </w:tc>
        <w:tc>
          <w:tcPr>
            <w:tcW w:w="880"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R2</w:t>
            </w:r>
          </w:p>
        </w:tc>
        <w:tc>
          <w:tcPr>
            <w:tcW w:w="1306"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危险废物经营许可证持有单位</w:t>
            </w:r>
          </w:p>
        </w:tc>
        <w:tc>
          <w:tcPr>
            <w:tcW w:w="1319"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内蒙古珑澄能源有限公司</w:t>
            </w:r>
          </w:p>
        </w:tc>
        <w:tc>
          <w:tcPr>
            <w:tcW w:w="1513"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1509270154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51</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跨区转移</w:t>
            </w:r>
          </w:p>
        </w:tc>
        <w:tc>
          <w:tcPr>
            <w:tcW w:w="981"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粗制下脚/精制下脚</w:t>
            </w:r>
          </w:p>
        </w:tc>
        <w:tc>
          <w:tcPr>
            <w:tcW w:w="977"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其他化工生产过程（不包括以生物质为主要原料的加工过程）中精馏、蒸馏和热解工艺产生的高沸点釜底残余物</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HW11</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900-013-11</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二苯醚、苯酚、杂质</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固态</w:t>
            </w:r>
          </w:p>
        </w:tc>
        <w:tc>
          <w:tcPr>
            <w:tcW w:w="111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毒性</w:t>
            </w:r>
          </w:p>
        </w:tc>
        <w:tc>
          <w:tcPr>
            <w:tcW w:w="72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200</w:t>
            </w:r>
          </w:p>
        </w:tc>
        <w:tc>
          <w:tcPr>
            <w:tcW w:w="94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吨</w:t>
            </w:r>
          </w:p>
        </w:tc>
        <w:tc>
          <w:tcPr>
            <w:tcW w:w="880"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R2</w:t>
            </w:r>
          </w:p>
        </w:tc>
        <w:tc>
          <w:tcPr>
            <w:tcW w:w="1306"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危险废物经营许可证持有单位</w:t>
            </w:r>
          </w:p>
        </w:tc>
        <w:tc>
          <w:tcPr>
            <w:tcW w:w="1319"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内蒙古珑澄能源有限公司</w:t>
            </w:r>
          </w:p>
        </w:tc>
        <w:tc>
          <w:tcPr>
            <w:tcW w:w="1513"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1509270154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52</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跨区转移</w:t>
            </w:r>
          </w:p>
        </w:tc>
        <w:tc>
          <w:tcPr>
            <w:tcW w:w="981"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废焦油</w:t>
            </w:r>
          </w:p>
        </w:tc>
        <w:tc>
          <w:tcPr>
            <w:tcW w:w="977"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其他化工生产过程（不包括以生物质为主要原料的加工过程）中精馏、蒸馏和热解工艺产生的高沸点釜底残余物</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HW11</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900-013-11</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聚合焦油和杂质</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液态</w:t>
            </w:r>
          </w:p>
        </w:tc>
        <w:tc>
          <w:tcPr>
            <w:tcW w:w="111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毒性</w:t>
            </w:r>
          </w:p>
        </w:tc>
        <w:tc>
          <w:tcPr>
            <w:tcW w:w="72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200</w:t>
            </w:r>
          </w:p>
        </w:tc>
        <w:tc>
          <w:tcPr>
            <w:tcW w:w="94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吨</w:t>
            </w:r>
          </w:p>
        </w:tc>
        <w:tc>
          <w:tcPr>
            <w:tcW w:w="880"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R2</w:t>
            </w:r>
          </w:p>
        </w:tc>
        <w:tc>
          <w:tcPr>
            <w:tcW w:w="1306"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危险废物经营许可证持有单位</w:t>
            </w:r>
          </w:p>
        </w:tc>
        <w:tc>
          <w:tcPr>
            <w:tcW w:w="1319"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内蒙古珑澄能源有限公司</w:t>
            </w:r>
          </w:p>
        </w:tc>
        <w:tc>
          <w:tcPr>
            <w:tcW w:w="1513"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1509270154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53</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跨区转移</w:t>
            </w:r>
          </w:p>
        </w:tc>
        <w:tc>
          <w:tcPr>
            <w:tcW w:w="981"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甲醚二次蒸馏焦油</w:t>
            </w:r>
          </w:p>
        </w:tc>
        <w:tc>
          <w:tcPr>
            <w:tcW w:w="977"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其他化工生产过程（不包括以生物质为主要原料的加工过程）中精馏、蒸馏和热解工艺产生的高沸点釜底残余物</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HW11</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900-013-11</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有机物、杂质</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半固态</w:t>
            </w:r>
          </w:p>
        </w:tc>
        <w:tc>
          <w:tcPr>
            <w:tcW w:w="111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毒性</w:t>
            </w:r>
          </w:p>
        </w:tc>
        <w:tc>
          <w:tcPr>
            <w:tcW w:w="72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200</w:t>
            </w:r>
          </w:p>
        </w:tc>
        <w:tc>
          <w:tcPr>
            <w:tcW w:w="94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吨</w:t>
            </w:r>
          </w:p>
        </w:tc>
        <w:tc>
          <w:tcPr>
            <w:tcW w:w="880"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R2</w:t>
            </w:r>
          </w:p>
        </w:tc>
        <w:tc>
          <w:tcPr>
            <w:tcW w:w="1306"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危险废物经营许可证持有单位</w:t>
            </w:r>
          </w:p>
        </w:tc>
        <w:tc>
          <w:tcPr>
            <w:tcW w:w="1319"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内蒙古珑澄能源有限公司</w:t>
            </w:r>
          </w:p>
        </w:tc>
        <w:tc>
          <w:tcPr>
            <w:tcW w:w="1513"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1509270154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54</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跨区转移</w:t>
            </w:r>
          </w:p>
        </w:tc>
        <w:tc>
          <w:tcPr>
            <w:tcW w:w="981"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蒸馏釜残</w:t>
            </w:r>
          </w:p>
        </w:tc>
        <w:tc>
          <w:tcPr>
            <w:tcW w:w="977"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其他化工生产过程（不包括以生物质为主要原料的加工过程）中精馏、蒸馏和热解工艺产生的高沸点釜底残余物</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HW11</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900-013-11</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邻硝基苯酚、邻硝基氯苯、杂质</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半固态</w:t>
            </w:r>
          </w:p>
        </w:tc>
        <w:tc>
          <w:tcPr>
            <w:tcW w:w="111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毒性</w:t>
            </w:r>
          </w:p>
        </w:tc>
        <w:tc>
          <w:tcPr>
            <w:tcW w:w="72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500</w:t>
            </w:r>
          </w:p>
        </w:tc>
        <w:tc>
          <w:tcPr>
            <w:tcW w:w="94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吨</w:t>
            </w:r>
          </w:p>
        </w:tc>
        <w:tc>
          <w:tcPr>
            <w:tcW w:w="880"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R2</w:t>
            </w:r>
          </w:p>
        </w:tc>
        <w:tc>
          <w:tcPr>
            <w:tcW w:w="1306"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危险废物经营许可证持有单位</w:t>
            </w:r>
          </w:p>
        </w:tc>
        <w:tc>
          <w:tcPr>
            <w:tcW w:w="1319"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内蒙古珑澄能源有限公司</w:t>
            </w:r>
          </w:p>
        </w:tc>
        <w:tc>
          <w:tcPr>
            <w:tcW w:w="1513"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1509270154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55</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跨区转移</w:t>
            </w:r>
          </w:p>
        </w:tc>
        <w:tc>
          <w:tcPr>
            <w:tcW w:w="981"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废活性炭/抽滤废渣</w:t>
            </w:r>
          </w:p>
        </w:tc>
        <w:tc>
          <w:tcPr>
            <w:tcW w:w="977"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烟气、VOCs治理过程（不包括餐饮行业油烟治理过程）产生的废活性炭，化学原料和化学制品脱色（不包括有机合成食品添加剂脱色）、除杂、净化过程产生的废活性炭（不包括900-405-06、772-005-18、261-053-29、265-002-29、384-003-29、387-001-29类危险废物）</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HW49</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900-039-49</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废活性炭、杂质</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固态</w:t>
            </w:r>
          </w:p>
        </w:tc>
        <w:tc>
          <w:tcPr>
            <w:tcW w:w="111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毒性</w:t>
            </w:r>
          </w:p>
        </w:tc>
        <w:tc>
          <w:tcPr>
            <w:tcW w:w="72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200</w:t>
            </w:r>
          </w:p>
        </w:tc>
        <w:tc>
          <w:tcPr>
            <w:tcW w:w="94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吨</w:t>
            </w:r>
          </w:p>
        </w:tc>
        <w:tc>
          <w:tcPr>
            <w:tcW w:w="880"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R4</w:t>
            </w:r>
          </w:p>
        </w:tc>
        <w:tc>
          <w:tcPr>
            <w:tcW w:w="1306"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危险废物经营许可证持有单位</w:t>
            </w:r>
          </w:p>
        </w:tc>
        <w:tc>
          <w:tcPr>
            <w:tcW w:w="1319"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内蒙古鑫焱环保科技有限公司</w:t>
            </w:r>
          </w:p>
        </w:tc>
        <w:tc>
          <w:tcPr>
            <w:tcW w:w="1513"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1506230241</w:t>
            </w:r>
          </w:p>
        </w:tc>
      </w:tr>
    </w:tbl>
    <w:p>
      <w:pPr>
        <w:rPr>
          <w:rFonts w:hint="default"/>
          <w:lang w:val="en-US" w:eastAsia="zh-CN"/>
        </w:rPr>
        <w:sectPr>
          <w:pgSz w:w="16838" w:h="11906" w:orient="landscape"/>
          <w:pgMar w:top="1803" w:right="1440" w:bottom="1803" w:left="1440" w:header="851" w:footer="992" w:gutter="0"/>
          <w:cols w:space="0" w:num="1"/>
          <w:rtlGutter w:val="0"/>
          <w:docGrid w:type="lines" w:linePitch="319" w:charSpace="0"/>
        </w:sectPr>
      </w:pPr>
    </w:p>
    <w:p>
      <w:pPr>
        <w:pageBreakBefore/>
        <w:jc w:val="center"/>
        <w:rPr>
          <w:rFonts w:eastAsia="仿宋_GB2312"/>
          <w:b w:val="0"/>
          <w:bCs/>
          <w:color w:val="000000"/>
          <w:sz w:val="30"/>
          <w:szCs w:val="30"/>
        </w:rPr>
      </w:pPr>
      <w:r>
        <w:rPr>
          <w:rFonts w:hint="eastAsia" w:ascii="黑体" w:hAnsi="黑体" w:eastAsia="黑体" w:cs="黑体"/>
          <w:b w:val="0"/>
          <w:bCs/>
          <w:color w:val="000000"/>
          <w:sz w:val="30"/>
          <w:szCs w:val="30"/>
        </w:rPr>
        <w:t>表</w:t>
      </w:r>
      <w:r>
        <w:rPr>
          <w:rFonts w:hint="eastAsia" w:ascii="黑体" w:hAnsi="黑体" w:eastAsia="黑体" w:cs="黑体"/>
          <w:b w:val="0"/>
          <w:bCs/>
          <w:color w:val="000000"/>
          <w:sz w:val="30"/>
          <w:szCs w:val="30"/>
          <w:lang w:val="en-US" w:eastAsia="zh-CN"/>
        </w:rPr>
        <w:t>9</w:t>
      </w:r>
      <w:r>
        <w:rPr>
          <w:rFonts w:hint="eastAsia" w:ascii="黑体" w:hAnsi="黑体" w:eastAsia="黑体" w:cs="黑体"/>
          <w:b w:val="0"/>
          <w:bCs/>
          <w:color w:val="000000"/>
          <w:sz w:val="30"/>
          <w:szCs w:val="30"/>
        </w:rPr>
        <w:t>危险废物管理计划备案登记表</w:t>
      </w:r>
    </w:p>
    <w:p>
      <w:pPr>
        <w:kinsoku w:val="0"/>
        <w:overflowPunct w:val="0"/>
        <w:ind w:left="400" w:right="5135"/>
        <w:rPr>
          <w:rFonts w:eastAsia="微软雅黑"/>
          <w:sz w:val="28"/>
          <w:szCs w:val="28"/>
        </w:rPr>
      </w:pPr>
      <w:r>
        <w:rPr>
          <w:rFonts w:hint="eastAsia" w:ascii="微软雅黑" w:eastAsia="微软雅黑" w:cs="微软雅黑"/>
        </w:rPr>
        <w:t>备案编号：</w:t>
      </w:r>
    </w:p>
    <w:p>
      <w:pPr>
        <w:kinsoku w:val="0"/>
        <w:overflowPunct w:val="0"/>
        <w:spacing w:before="1" w:line="50" w:lineRule="exact"/>
        <w:rPr>
          <w:sz w:val="5"/>
          <w:szCs w:val="5"/>
        </w:rPr>
      </w:pPr>
    </w:p>
    <w:tbl>
      <w:tblPr>
        <w:tblStyle w:val="5"/>
        <w:tblW w:w="8897" w:type="dxa"/>
        <w:jc w:val="center"/>
        <w:tblLayout w:type="fixed"/>
        <w:tblCellMar>
          <w:top w:w="0" w:type="dxa"/>
          <w:left w:w="0" w:type="dxa"/>
          <w:bottom w:w="0" w:type="dxa"/>
          <w:right w:w="0" w:type="dxa"/>
        </w:tblCellMar>
      </w:tblPr>
      <w:tblGrid>
        <w:gridCol w:w="2235"/>
        <w:gridCol w:w="1842"/>
        <w:gridCol w:w="421"/>
        <w:gridCol w:w="1691"/>
        <w:gridCol w:w="2708"/>
      </w:tblGrid>
      <w:tr>
        <w:tblPrEx>
          <w:tblCellMar>
            <w:top w:w="0" w:type="dxa"/>
            <w:left w:w="0" w:type="dxa"/>
            <w:bottom w:w="0" w:type="dxa"/>
            <w:right w:w="0" w:type="dxa"/>
          </w:tblCellMar>
        </w:tblPrEx>
        <w:trPr>
          <w:trHeight w:val="711" w:hRule="exact"/>
          <w:jc w:val="center"/>
        </w:trPr>
        <w:tc>
          <w:tcPr>
            <w:tcW w:w="2235" w:type="dxa"/>
            <w:tcBorders>
              <w:top w:val="single" w:color="000000" w:sz="6" w:space="0"/>
              <w:left w:val="single" w:color="000000" w:sz="6" w:space="0"/>
              <w:bottom w:val="single" w:color="000000" w:sz="4" w:space="0"/>
              <w:right w:val="single" w:color="000000" w:sz="4" w:space="0"/>
            </w:tcBorders>
            <w:vAlign w:val="center"/>
          </w:tcPr>
          <w:p>
            <w:pPr>
              <w:pStyle w:val="10"/>
              <w:kinsoku w:val="0"/>
              <w:overflowPunct w:val="0"/>
              <w:spacing w:before="5" w:line="110" w:lineRule="exact"/>
              <w:jc w:val="center"/>
              <w:rPr>
                <w:kern w:val="2"/>
                <w:sz w:val="11"/>
                <w:szCs w:val="11"/>
              </w:rPr>
            </w:pPr>
          </w:p>
          <w:p>
            <w:pPr>
              <w:pStyle w:val="10"/>
              <w:kinsoku w:val="0"/>
              <w:overflowPunct w:val="0"/>
              <w:ind w:left="98"/>
              <w:jc w:val="center"/>
              <w:rPr>
                <w:kern w:val="2"/>
              </w:rPr>
            </w:pPr>
            <w:r>
              <w:rPr>
                <w:rFonts w:hint="eastAsia" w:ascii="宋体" w:eastAsia="宋体" w:cs="宋体"/>
                <w:kern w:val="2"/>
              </w:rPr>
              <w:t>单位名称</w:t>
            </w:r>
          </w:p>
        </w:tc>
        <w:tc>
          <w:tcPr>
            <w:tcW w:w="6662" w:type="dxa"/>
            <w:gridSpan w:val="4"/>
            <w:tcBorders>
              <w:top w:val="single" w:color="000000" w:sz="6" w:space="0"/>
              <w:left w:val="single" w:color="000000" w:sz="4" w:space="0"/>
              <w:bottom w:val="single" w:color="000000" w:sz="4" w:space="0"/>
              <w:right w:val="single" w:color="000000" w:sz="6" w:space="0"/>
            </w:tcBorders>
            <w:vAlign w:val="center"/>
          </w:tcPr>
          <w:p>
            <w:pPr>
              <w:rPr>
                <w:rFonts w:hint="default" w:eastAsiaTheme="minorEastAsia"/>
                <w:lang w:val="en-US" w:eastAsia="zh-CN"/>
              </w:rPr>
            </w:pPr>
            <w:r>
              <w:rPr>
                <w:rFonts w:hint="eastAsia" w:asciiTheme="minorEastAsia" w:hAnsiTheme="minorEastAsia" w:eastAsiaTheme="minorEastAsia" w:cstheme="minorEastAsia"/>
                <w:sz w:val="24"/>
                <w:szCs w:val="24"/>
                <w:lang w:val="en-US" w:eastAsia="zh-CN"/>
              </w:rPr>
              <w:t>宁夏华御化工有限公司</w:t>
            </w:r>
          </w:p>
        </w:tc>
      </w:tr>
      <w:tr>
        <w:tblPrEx>
          <w:tblCellMar>
            <w:top w:w="0" w:type="dxa"/>
            <w:left w:w="0" w:type="dxa"/>
            <w:bottom w:w="0" w:type="dxa"/>
            <w:right w:w="0" w:type="dxa"/>
          </w:tblCellMar>
        </w:tblPrEx>
        <w:trPr>
          <w:trHeight w:val="712" w:hRule="exact"/>
          <w:jc w:val="center"/>
        </w:trPr>
        <w:tc>
          <w:tcPr>
            <w:tcW w:w="2235" w:type="dxa"/>
            <w:tcBorders>
              <w:top w:val="single" w:color="000000" w:sz="4" w:space="0"/>
              <w:left w:val="single" w:color="000000" w:sz="6" w:space="0"/>
              <w:bottom w:val="single" w:color="000000" w:sz="4" w:space="0"/>
              <w:right w:val="single" w:color="000000" w:sz="4" w:space="0"/>
            </w:tcBorders>
            <w:vAlign w:val="center"/>
          </w:tcPr>
          <w:p>
            <w:pPr>
              <w:pStyle w:val="10"/>
              <w:kinsoku w:val="0"/>
              <w:overflowPunct w:val="0"/>
              <w:spacing w:before="7" w:line="110" w:lineRule="exact"/>
              <w:jc w:val="center"/>
              <w:rPr>
                <w:kern w:val="2"/>
                <w:sz w:val="11"/>
                <w:szCs w:val="11"/>
              </w:rPr>
            </w:pPr>
          </w:p>
          <w:p>
            <w:pPr>
              <w:pStyle w:val="10"/>
              <w:kinsoku w:val="0"/>
              <w:overflowPunct w:val="0"/>
              <w:ind w:left="98"/>
              <w:jc w:val="center"/>
              <w:rPr>
                <w:kern w:val="2"/>
              </w:rPr>
            </w:pPr>
            <w:r>
              <w:rPr>
                <w:rFonts w:hint="eastAsia" w:ascii="宋体" w:eastAsia="宋体" w:cs="宋体"/>
                <w:kern w:val="2"/>
              </w:rPr>
              <w:t>单位地址</w:t>
            </w:r>
          </w:p>
        </w:tc>
        <w:tc>
          <w:tcPr>
            <w:tcW w:w="6662" w:type="dxa"/>
            <w:gridSpan w:val="4"/>
            <w:tcBorders>
              <w:top w:val="single" w:color="000000" w:sz="4" w:space="0"/>
              <w:left w:val="single" w:color="000000" w:sz="4" w:space="0"/>
              <w:bottom w:val="single" w:color="000000" w:sz="4" w:space="0"/>
              <w:right w:val="single" w:color="000000" w:sz="6" w:space="0"/>
            </w:tcBorders>
            <w:vAlign w:val="center"/>
          </w:tcPr>
          <w:p>
            <w:pPr>
              <w:rPr>
                <w:rFonts w:hint="default" w:eastAsiaTheme="minorEastAsia"/>
                <w:lang w:val="en-US" w:eastAsia="zh-CN"/>
              </w:rPr>
            </w:pPr>
            <w:r>
              <w:rPr>
                <w:rFonts w:hint="eastAsia" w:asciiTheme="minorEastAsia" w:hAnsiTheme="minorEastAsia" w:eastAsiaTheme="minorEastAsia" w:cstheme="minorEastAsia"/>
                <w:sz w:val="24"/>
                <w:szCs w:val="24"/>
                <w:lang w:val="en-US" w:eastAsia="zh-CN"/>
              </w:rPr>
              <w:t>宁夏中卫市工业园区利华路</w:t>
            </w:r>
          </w:p>
        </w:tc>
      </w:tr>
      <w:tr>
        <w:tblPrEx>
          <w:tblCellMar>
            <w:top w:w="0" w:type="dxa"/>
            <w:left w:w="0" w:type="dxa"/>
            <w:bottom w:w="0" w:type="dxa"/>
            <w:right w:w="0" w:type="dxa"/>
          </w:tblCellMar>
        </w:tblPrEx>
        <w:trPr>
          <w:trHeight w:val="708" w:hRule="exact"/>
          <w:jc w:val="center"/>
        </w:trPr>
        <w:tc>
          <w:tcPr>
            <w:tcW w:w="2235" w:type="dxa"/>
            <w:tcBorders>
              <w:top w:val="single" w:color="000000" w:sz="4" w:space="0"/>
              <w:left w:val="single" w:color="000000" w:sz="6" w:space="0"/>
              <w:bottom w:val="single" w:color="000000" w:sz="4" w:space="0"/>
              <w:right w:val="single" w:color="000000" w:sz="4" w:space="0"/>
            </w:tcBorders>
            <w:vAlign w:val="center"/>
          </w:tcPr>
          <w:p>
            <w:pPr>
              <w:pStyle w:val="10"/>
              <w:kinsoku w:val="0"/>
              <w:overflowPunct w:val="0"/>
              <w:spacing w:before="5" w:line="110" w:lineRule="exact"/>
              <w:jc w:val="center"/>
              <w:rPr>
                <w:kern w:val="2"/>
                <w:sz w:val="11"/>
                <w:szCs w:val="11"/>
              </w:rPr>
            </w:pPr>
          </w:p>
          <w:p>
            <w:pPr>
              <w:pStyle w:val="10"/>
              <w:kinsoku w:val="0"/>
              <w:overflowPunct w:val="0"/>
              <w:ind w:left="98"/>
              <w:jc w:val="center"/>
              <w:rPr>
                <w:kern w:val="2"/>
              </w:rPr>
            </w:pPr>
            <w:r>
              <w:rPr>
                <w:rFonts w:hint="eastAsia" w:ascii="宋体" w:eastAsia="宋体" w:cs="宋体"/>
                <w:kern w:val="2"/>
              </w:rPr>
              <w:t>法定代表人</w:t>
            </w:r>
          </w:p>
        </w:tc>
        <w:tc>
          <w:tcPr>
            <w:tcW w:w="2263" w:type="dxa"/>
            <w:gridSpan w:val="2"/>
            <w:tcBorders>
              <w:top w:val="single" w:color="000000" w:sz="4" w:space="0"/>
              <w:left w:val="single" w:color="000000" w:sz="4" w:space="0"/>
              <w:bottom w:val="single" w:color="000000" w:sz="4" w:space="0"/>
              <w:right w:val="single" w:color="000000" w:sz="4" w:space="0"/>
            </w:tcBorders>
            <w:vAlign w:val="center"/>
          </w:tcPr>
          <w:p>
            <w:pPr>
              <w:rPr>
                <w:rFonts w:hint="default" w:eastAsiaTheme="minorEastAsia"/>
                <w:lang w:val="en-US" w:eastAsia="zh-CN"/>
              </w:rPr>
            </w:pPr>
            <w:r>
              <w:rPr>
                <w:rFonts w:hint="eastAsia" w:asciiTheme="minorEastAsia" w:hAnsiTheme="minorEastAsia" w:eastAsiaTheme="minorEastAsia" w:cstheme="minorEastAsia"/>
                <w:color w:val="000000"/>
                <w:sz w:val="24"/>
                <w:szCs w:val="24"/>
                <w:lang w:val="en-US" w:eastAsia="zh-CN"/>
              </w:rPr>
              <w:t>范德芳</w:t>
            </w:r>
          </w:p>
        </w:tc>
        <w:tc>
          <w:tcPr>
            <w:tcW w:w="1691" w:type="dxa"/>
            <w:tcBorders>
              <w:top w:val="single" w:color="000000" w:sz="4" w:space="0"/>
              <w:left w:val="single" w:color="000000" w:sz="4" w:space="0"/>
              <w:bottom w:val="single" w:color="000000" w:sz="4" w:space="0"/>
              <w:right w:val="single" w:color="000000" w:sz="4" w:space="0"/>
            </w:tcBorders>
            <w:vAlign w:val="center"/>
          </w:tcPr>
          <w:p>
            <w:pPr>
              <w:pStyle w:val="10"/>
              <w:kinsoku w:val="0"/>
              <w:overflowPunct w:val="0"/>
              <w:spacing w:before="5" w:line="110" w:lineRule="exact"/>
              <w:rPr>
                <w:kern w:val="2"/>
                <w:sz w:val="11"/>
                <w:szCs w:val="11"/>
              </w:rPr>
            </w:pPr>
          </w:p>
          <w:p>
            <w:pPr>
              <w:pStyle w:val="10"/>
              <w:kinsoku w:val="0"/>
              <w:overflowPunct w:val="0"/>
              <w:ind w:left="102"/>
              <w:rPr>
                <w:kern w:val="2"/>
              </w:rPr>
            </w:pPr>
            <w:r>
              <w:rPr>
                <w:rFonts w:hint="eastAsia" w:ascii="宋体" w:eastAsia="宋体" w:cs="宋体"/>
                <w:kern w:val="2"/>
              </w:rPr>
              <w:t>行业类型</w:t>
            </w:r>
          </w:p>
        </w:tc>
        <w:tc>
          <w:tcPr>
            <w:tcW w:w="2708" w:type="dxa"/>
            <w:tcBorders>
              <w:top w:val="single" w:color="000000" w:sz="4" w:space="0"/>
              <w:left w:val="single" w:color="000000" w:sz="4" w:space="0"/>
              <w:bottom w:val="single" w:color="000000" w:sz="4" w:space="0"/>
              <w:right w:val="single" w:color="000000" w:sz="6" w:space="0"/>
            </w:tcBorders>
            <w:vAlign w:val="center"/>
          </w:tcPr>
          <w:p>
            <w:pPr>
              <w:rPr>
                <w:rFonts w:hint="default" w:eastAsiaTheme="minorEastAsia"/>
                <w:lang w:val="en-US" w:eastAsia="zh-CN"/>
              </w:rPr>
            </w:pPr>
            <w:r>
              <w:rPr>
                <w:rFonts w:hint="eastAsia" w:asciiTheme="minorEastAsia" w:hAnsiTheme="minorEastAsia" w:eastAsiaTheme="minorEastAsia" w:cstheme="minorEastAsia"/>
                <w:color w:val="000000"/>
                <w:sz w:val="24"/>
                <w:szCs w:val="24"/>
                <w:lang w:val="en-US" w:eastAsia="zh-CN"/>
              </w:rPr>
              <w:t>有机化学原料制造</w:t>
            </w:r>
          </w:p>
        </w:tc>
      </w:tr>
      <w:tr>
        <w:tblPrEx>
          <w:tblCellMar>
            <w:top w:w="0" w:type="dxa"/>
            <w:left w:w="0" w:type="dxa"/>
            <w:bottom w:w="0" w:type="dxa"/>
            <w:right w:w="0" w:type="dxa"/>
          </w:tblCellMar>
        </w:tblPrEx>
        <w:trPr>
          <w:trHeight w:val="715" w:hRule="exact"/>
          <w:jc w:val="center"/>
        </w:trPr>
        <w:tc>
          <w:tcPr>
            <w:tcW w:w="2235" w:type="dxa"/>
            <w:tcBorders>
              <w:top w:val="single" w:color="000000" w:sz="4" w:space="0"/>
              <w:left w:val="single" w:color="000000" w:sz="6" w:space="0"/>
              <w:bottom w:val="single" w:color="000000" w:sz="4" w:space="0"/>
              <w:right w:val="single" w:color="000000" w:sz="4" w:space="0"/>
            </w:tcBorders>
            <w:vAlign w:val="center"/>
          </w:tcPr>
          <w:p>
            <w:pPr>
              <w:pStyle w:val="10"/>
              <w:kinsoku w:val="0"/>
              <w:overflowPunct w:val="0"/>
              <w:spacing w:before="41"/>
              <w:ind w:left="98"/>
              <w:jc w:val="center"/>
              <w:rPr>
                <w:rFonts w:hint="eastAsia" w:eastAsia="宋体"/>
                <w:kern w:val="2"/>
                <w:lang w:val="en-US" w:eastAsia="zh-CN"/>
              </w:rPr>
            </w:pPr>
            <w:r>
              <w:rPr>
                <w:rFonts w:hint="eastAsia" w:ascii="宋体" w:eastAsia="宋体" w:cs="宋体"/>
                <w:kern w:val="2"/>
                <w:lang w:val="en-US" w:eastAsia="zh-CN"/>
              </w:rPr>
              <w:t>环保负责人</w:t>
            </w:r>
            <w:r>
              <w:rPr>
                <w:rFonts w:eastAsia="宋体"/>
                <w:kern w:val="2"/>
              </w:rPr>
              <w:t>/</w:t>
            </w:r>
            <w:r>
              <w:rPr>
                <w:rFonts w:hint="eastAsia" w:eastAsia="宋体"/>
                <w:kern w:val="2"/>
                <w:lang w:val="en-US" w:eastAsia="zh-CN"/>
              </w:rPr>
              <w:t>联系电话</w:t>
            </w:r>
          </w:p>
        </w:tc>
        <w:tc>
          <w:tcPr>
            <w:tcW w:w="2263"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顾家立</w:t>
            </w:r>
            <w:r>
              <w:rPr>
                <w:rFonts w:hint="eastAsia" w:asciiTheme="minorEastAsia" w:hAnsiTheme="minorEastAsia" w:eastAsiaTheme="minorEastAsia" w:cstheme="minorEastAsia"/>
                <w:color w:val="000000"/>
                <w:sz w:val="24"/>
                <w:szCs w:val="24"/>
              </w:rPr>
              <w:t>/</w:t>
            </w:r>
          </w:p>
          <w:p>
            <w:pPr>
              <w:rPr>
                <w:rFonts w:hint="default" w:eastAsia="黑体"/>
                <w:lang w:val="en-US" w:eastAsia="zh-CN"/>
              </w:rPr>
            </w:pPr>
            <w:r>
              <w:rPr>
                <w:rFonts w:hint="eastAsia" w:asciiTheme="minorEastAsia" w:hAnsiTheme="minorEastAsia" w:eastAsiaTheme="minorEastAsia" w:cstheme="minorEastAsia"/>
                <w:color w:val="000000"/>
                <w:sz w:val="24"/>
                <w:szCs w:val="24"/>
                <w:lang w:val="en-US" w:eastAsia="zh-CN"/>
              </w:rPr>
              <w:t>0955-7606666</w:t>
            </w:r>
          </w:p>
        </w:tc>
        <w:tc>
          <w:tcPr>
            <w:tcW w:w="1691" w:type="dxa"/>
            <w:tcBorders>
              <w:top w:val="single" w:color="000000" w:sz="4" w:space="0"/>
              <w:left w:val="single" w:color="000000" w:sz="4" w:space="0"/>
              <w:bottom w:val="single" w:color="000000" w:sz="4" w:space="0"/>
              <w:right w:val="single" w:color="000000" w:sz="4" w:space="0"/>
            </w:tcBorders>
            <w:vAlign w:val="center"/>
          </w:tcPr>
          <w:p>
            <w:pPr>
              <w:pStyle w:val="10"/>
              <w:kinsoku w:val="0"/>
              <w:overflowPunct w:val="0"/>
              <w:spacing w:before="41"/>
              <w:ind w:left="102"/>
              <w:rPr>
                <w:kern w:val="2"/>
              </w:rPr>
            </w:pPr>
            <w:r>
              <w:rPr>
                <w:rFonts w:hint="eastAsia" w:ascii="宋体" w:eastAsia="宋体" w:cs="宋体"/>
                <w:kern w:val="2"/>
              </w:rPr>
              <w:t>邮箱</w:t>
            </w:r>
          </w:p>
        </w:tc>
        <w:tc>
          <w:tcPr>
            <w:tcW w:w="2708" w:type="dxa"/>
            <w:tcBorders>
              <w:top w:val="single" w:color="000000" w:sz="4" w:space="0"/>
              <w:left w:val="single" w:color="000000" w:sz="4" w:space="0"/>
              <w:bottom w:val="single" w:color="000000" w:sz="4" w:space="0"/>
              <w:right w:val="single" w:color="000000" w:sz="6" w:space="0"/>
            </w:tcBorders>
            <w:vAlign w:val="center"/>
          </w:tcPr>
          <w:p>
            <w:pPr>
              <w:rPr>
                <w:rFonts w:hint="default" w:eastAsiaTheme="minorEastAsia"/>
                <w:lang w:val="en-US" w:eastAsia="zh-CN"/>
              </w:rPr>
            </w:pPr>
            <w:r>
              <w:rPr>
                <w:rFonts w:hint="eastAsia" w:asciiTheme="minorEastAsia" w:hAnsiTheme="minorEastAsia" w:eastAsiaTheme="minorEastAsia" w:cstheme="minorEastAsia"/>
                <w:sz w:val="24"/>
                <w:szCs w:val="24"/>
                <w:lang w:val="en-US" w:eastAsia="zh-CN"/>
              </w:rPr>
              <w:t>nxhy8080@126.com</w:t>
            </w:r>
          </w:p>
        </w:tc>
      </w:tr>
      <w:tr>
        <w:tblPrEx>
          <w:tblCellMar>
            <w:top w:w="0" w:type="dxa"/>
            <w:left w:w="0" w:type="dxa"/>
            <w:bottom w:w="0" w:type="dxa"/>
            <w:right w:w="0" w:type="dxa"/>
          </w:tblCellMar>
        </w:tblPrEx>
        <w:trPr>
          <w:trHeight w:val="1015" w:hRule="exact"/>
          <w:jc w:val="center"/>
        </w:trPr>
        <w:tc>
          <w:tcPr>
            <w:tcW w:w="2235" w:type="dxa"/>
            <w:tcBorders>
              <w:top w:val="single" w:color="000000" w:sz="4" w:space="0"/>
              <w:left w:val="single" w:color="000000" w:sz="6" w:space="0"/>
              <w:bottom w:val="single" w:color="000000" w:sz="4" w:space="0"/>
              <w:right w:val="single" w:color="000000" w:sz="4" w:space="0"/>
            </w:tcBorders>
            <w:vAlign w:val="center"/>
          </w:tcPr>
          <w:p>
            <w:pPr>
              <w:pStyle w:val="10"/>
              <w:kinsoku w:val="0"/>
              <w:overflowPunct w:val="0"/>
              <w:spacing w:before="6" w:line="180" w:lineRule="exact"/>
              <w:jc w:val="center"/>
              <w:rPr>
                <w:kern w:val="2"/>
                <w:sz w:val="18"/>
                <w:szCs w:val="18"/>
              </w:rPr>
            </w:pPr>
          </w:p>
          <w:p>
            <w:pPr>
              <w:pStyle w:val="10"/>
              <w:kinsoku w:val="0"/>
              <w:overflowPunct w:val="0"/>
              <w:spacing w:line="310" w:lineRule="exact"/>
              <w:ind w:left="98"/>
              <w:jc w:val="center"/>
              <w:rPr>
                <w:kern w:val="2"/>
              </w:rPr>
            </w:pPr>
            <w:r>
              <w:rPr>
                <w:rFonts w:hint="eastAsia" w:ascii="宋体" w:eastAsia="宋体" w:cs="宋体"/>
                <w:kern w:val="2"/>
              </w:rPr>
              <w:t>危险废物产生规模 及数量（吨）</w:t>
            </w:r>
          </w:p>
        </w:tc>
        <w:tc>
          <w:tcPr>
            <w:tcW w:w="6662" w:type="dxa"/>
            <w:gridSpan w:val="4"/>
            <w:tcBorders>
              <w:top w:val="single" w:color="000000" w:sz="4" w:space="0"/>
              <w:left w:val="single" w:color="000000" w:sz="4" w:space="0"/>
              <w:bottom w:val="single" w:color="000000" w:sz="4" w:space="0"/>
              <w:right w:val="single" w:color="000000" w:sz="6" w:space="0"/>
            </w:tcBorders>
            <w:vAlign w:val="center"/>
          </w:tcPr>
          <w:p>
            <w:pPr>
              <w:pStyle w:val="10"/>
              <w:tabs>
                <w:tab w:val="left" w:pos="3500"/>
              </w:tabs>
              <w:kinsoku w:val="0"/>
              <w:overflowPunct w:val="0"/>
              <w:spacing w:line="312" w:lineRule="exact"/>
              <w:ind w:left="102"/>
              <w:rPr>
                <w:rFonts w:hint="default" w:eastAsiaTheme="minorEastAsia"/>
                <w:kern w:val="2"/>
                <w:lang w:val="en-US" w:eastAsia="zh-CN"/>
              </w:rPr>
            </w:pPr>
            <w:r>
              <w:rPr>
                <w:rFonts w:hint="eastAsia" w:asciiTheme="minorEastAsia" w:hAnsiTheme="minorEastAsia" w:eastAsiaTheme="minorEastAsia" w:cstheme="minorEastAsia"/>
                <w:color w:val="000000"/>
                <w:sz w:val="24"/>
                <w:szCs w:val="24"/>
                <w:lang w:val="en-US" w:eastAsia="zh-CN"/>
              </w:rPr>
              <w:t>14130</w:t>
            </w:r>
          </w:p>
        </w:tc>
      </w:tr>
      <w:tr>
        <w:tblPrEx>
          <w:tblCellMar>
            <w:top w:w="0" w:type="dxa"/>
            <w:left w:w="0" w:type="dxa"/>
            <w:bottom w:w="0" w:type="dxa"/>
            <w:right w:w="0" w:type="dxa"/>
          </w:tblCellMar>
        </w:tblPrEx>
        <w:trPr>
          <w:trHeight w:val="1133" w:hRule="atLeast"/>
          <w:jc w:val="center"/>
        </w:trPr>
        <w:tc>
          <w:tcPr>
            <w:tcW w:w="2235" w:type="dxa"/>
            <w:tcBorders>
              <w:top w:val="single" w:color="000000" w:sz="4" w:space="0"/>
              <w:left w:val="single" w:color="000000" w:sz="6" w:space="0"/>
              <w:bottom w:val="single" w:color="000000" w:sz="4" w:space="0"/>
              <w:right w:val="single" w:color="000000" w:sz="4" w:space="0"/>
            </w:tcBorders>
            <w:vAlign w:val="center"/>
          </w:tcPr>
          <w:p>
            <w:pPr>
              <w:pStyle w:val="10"/>
              <w:kinsoku w:val="0"/>
              <w:overflowPunct w:val="0"/>
              <w:spacing w:before="7" w:line="312" w:lineRule="exact"/>
              <w:ind w:firstLine="228" w:firstLineChars="100"/>
              <w:jc w:val="center"/>
              <w:rPr>
                <w:rFonts w:ascii="宋体" w:eastAsia="宋体" w:cs="宋体"/>
                <w:kern w:val="2"/>
              </w:rPr>
            </w:pPr>
            <w:r>
              <w:rPr>
                <w:rFonts w:hint="eastAsia" w:ascii="宋体" w:eastAsia="宋体" w:cs="宋体"/>
                <w:kern w:val="2"/>
              </w:rPr>
              <w:t>危险废物</w:t>
            </w:r>
          </w:p>
          <w:p>
            <w:pPr>
              <w:pStyle w:val="10"/>
              <w:kinsoku w:val="0"/>
              <w:overflowPunct w:val="0"/>
              <w:spacing w:before="7" w:line="312" w:lineRule="exact"/>
              <w:ind w:firstLine="228" w:firstLineChars="100"/>
              <w:jc w:val="center"/>
              <w:rPr>
                <w:kern w:val="2"/>
              </w:rPr>
            </w:pPr>
            <w:r>
              <w:rPr>
                <w:rFonts w:hint="eastAsia" w:ascii="宋体" w:eastAsia="宋体" w:cs="宋体"/>
                <w:kern w:val="2"/>
              </w:rPr>
              <w:t>名称及类别</w:t>
            </w:r>
          </w:p>
        </w:tc>
        <w:tc>
          <w:tcPr>
            <w:tcW w:w="6662" w:type="dxa"/>
            <w:gridSpan w:val="4"/>
            <w:tcBorders>
              <w:top w:val="single" w:color="000000" w:sz="4" w:space="0"/>
              <w:left w:val="single" w:color="000000" w:sz="4" w:space="0"/>
              <w:bottom w:val="single" w:color="000000" w:sz="4" w:space="0"/>
              <w:right w:val="single" w:color="000000" w:sz="6" w:space="0"/>
            </w:tcBorders>
            <w:vAlign w:val="center"/>
          </w:tcPr>
          <w:p>
            <w:pPr>
              <w:rPr>
                <w:rFonts w:hint="default" w:eastAsiaTheme="minorEastAsia"/>
                <w:lang w:val="en-US" w:eastAsia="zh-CN"/>
              </w:rPr>
            </w:pPr>
            <w:r>
              <w:rPr>
                <w:rFonts w:hint="eastAsia" w:asciiTheme="minorEastAsia" w:hAnsiTheme="minorEastAsia" w:eastAsiaTheme="minorEastAsia" w:cstheme="minorEastAsia"/>
                <w:sz w:val="24"/>
                <w:szCs w:val="24"/>
                <w:lang w:val="en-US" w:eastAsia="zh-CN"/>
              </w:rPr>
              <w:t>[HW06工业生产中作为清洗剂、萃取剂、溶剂或反应介质使用后废弃的有机溶剂，包括苯、苯乙烯、丁醇、丙酮、正己烷、甲苯、邻二甲苯、间二甲苯、对二甲苯、1,2,4-三甲苯、乙苯、乙醇、异丙醇、乙醚、丙醚、乙酸甲酯、乙酸乙酯、乙酸丁酯、丙酸丁酯、苯酚，以及在使用前混合的含有一种或多种上述溶剂的混合/调和溶剂900-402-06, HW08使用工业齿轮油进行机械设备润滑过程中产生的废润滑油900-217-08, HW11其他化工生产过程（不包括以生物质为主要原料的加工过程）中精馏、蒸馏和热解工艺产生的高沸点釜底残余物900-013-11,氯苯、二氯苯生产过程中的蒸馏及分馏残渣261-026-11, HW13湿法冶金、表面处理和制药行业重金属、抗生素提取、分离过程产生的废弃离子交换树脂，以及工业废水处理过程产生的废弃离子交换树脂900-015-13, HW34卤素和卤素化学品生产过程中产生的废酸261-058-34, HW36其他生产过程中产生的石棉废物900-030-36, HW45其他有机卤化物的生产过程（不包括卤化前的生产工段）中产生的残液、废过滤吸附介质、反应残余物、废水处理污泥（不包括环氧氯丙烷皂化液处理产生的石灰渣）、废催化剂（不包括本名录 HW04、HW06、HW11、HW12、HW13、HW39 类别的危险废物）261-084-45, HW46废弃的镍催化剂900-037-46, HW49含有或沾染毒性、感染性危险废物的废弃包装物、容器、过滤吸附介质900-041-49,烟气、VOCs治理过程（不包括餐饮行业油烟治理过程）产生的废活性炭，化学原料和化学制品脱色（不包括有机合成食品添加剂脱色）、除杂、净化过程产生的废活性炭（不包括900-405-06、772-005-18、261-053-29、265-002-29、384-003-29、387-001-29类危险废物）900-039-49,生产、研究、开发、教学、环境检测（监测）活动中，化学和生物实验室（不包含感染性医学实验室及医疗机构化验室）产生的含氰、氟、重金属无机废液及无机废液处理产生的残渣、残液，含矿物油、有机溶剂、甲醛有机废液，废酸、废碱，具有危险特性的残留样品，以及沾染上述物质的一次性实验用品（不包括按实验室管理要求进行清洗后的废弃的烧杯、量器、漏斗等实验室用品）、包装物（不包括按实验室管理要求进行清洗后的试, HW50有机溶剂生产过程中产生的废催化剂261-152-50]</w:t>
            </w:r>
          </w:p>
        </w:tc>
      </w:tr>
      <w:tr>
        <w:tblPrEx>
          <w:tblCellMar>
            <w:top w:w="0" w:type="dxa"/>
            <w:left w:w="0" w:type="dxa"/>
            <w:bottom w:w="0" w:type="dxa"/>
            <w:right w:w="0" w:type="dxa"/>
          </w:tblCellMar>
        </w:tblPrEx>
        <w:trPr>
          <w:trHeight w:val="882" w:hRule="exact"/>
          <w:jc w:val="center"/>
        </w:trPr>
        <w:tc>
          <w:tcPr>
            <w:tcW w:w="4077" w:type="dxa"/>
            <w:gridSpan w:val="2"/>
            <w:tcBorders>
              <w:top w:val="single" w:color="000000" w:sz="4" w:space="0"/>
              <w:left w:val="single" w:color="000000" w:sz="6" w:space="0"/>
              <w:bottom w:val="single" w:color="000000" w:sz="4" w:space="0"/>
              <w:right w:val="single" w:color="000000" w:sz="4" w:space="0"/>
            </w:tcBorders>
            <w:vAlign w:val="center"/>
          </w:tcPr>
          <w:p>
            <w:pPr>
              <w:pStyle w:val="10"/>
              <w:kinsoku w:val="0"/>
              <w:overflowPunct w:val="0"/>
              <w:spacing w:before="50"/>
              <w:ind w:left="295" w:right="302"/>
              <w:jc w:val="both"/>
              <w:rPr>
                <w:rFonts w:ascii="宋体" w:eastAsia="宋体" w:cs="宋体"/>
                <w:kern w:val="2"/>
              </w:rPr>
            </w:pPr>
            <w:r>
              <w:rPr>
                <w:rFonts w:hint="eastAsia" w:ascii="宋体" w:eastAsia="宋体" w:cs="宋体"/>
                <w:kern w:val="2"/>
              </w:rPr>
              <w:t>计划委托利用</w:t>
            </w:r>
            <w:r>
              <w:rPr>
                <w:rFonts w:eastAsia="宋体"/>
                <w:kern w:val="2"/>
              </w:rPr>
              <w:t>/</w:t>
            </w:r>
            <w:r>
              <w:rPr>
                <w:rFonts w:hint="eastAsia" w:ascii="宋体" w:eastAsia="宋体" w:cs="宋体"/>
                <w:kern w:val="2"/>
              </w:rPr>
              <w:t>处置危险废物数量</w:t>
            </w:r>
          </w:p>
          <w:p>
            <w:pPr>
              <w:pStyle w:val="10"/>
              <w:kinsoku w:val="0"/>
              <w:overflowPunct w:val="0"/>
              <w:spacing w:line="294" w:lineRule="exact"/>
              <w:ind w:left="1648" w:right="1655"/>
              <w:jc w:val="center"/>
              <w:rPr>
                <w:kern w:val="2"/>
              </w:rPr>
            </w:pPr>
            <w:r>
              <w:rPr>
                <w:rFonts w:hint="eastAsia" w:ascii="宋体" w:eastAsia="宋体" w:cs="宋体"/>
                <w:kern w:val="2"/>
              </w:rPr>
              <w:t>（吨）</w:t>
            </w:r>
          </w:p>
        </w:tc>
        <w:tc>
          <w:tcPr>
            <w:tcW w:w="4820" w:type="dxa"/>
            <w:gridSpan w:val="3"/>
            <w:tcBorders>
              <w:top w:val="single" w:color="000000" w:sz="4" w:space="0"/>
              <w:left w:val="single" w:color="000000" w:sz="4" w:space="0"/>
              <w:bottom w:val="single" w:color="000000" w:sz="4"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color w:val="000000"/>
                <w:sz w:val="24"/>
                <w:szCs w:val="24"/>
                <w:lang w:val="en-US" w:eastAsia="zh-CN"/>
              </w:rPr>
              <w:t>25480</w:t>
            </w:r>
          </w:p>
        </w:tc>
      </w:tr>
      <w:tr>
        <w:tblPrEx>
          <w:tblCellMar>
            <w:top w:w="0" w:type="dxa"/>
            <w:left w:w="0" w:type="dxa"/>
            <w:bottom w:w="0" w:type="dxa"/>
            <w:right w:w="0" w:type="dxa"/>
          </w:tblCellMar>
        </w:tblPrEx>
        <w:trPr>
          <w:trHeight w:val="913" w:hRule="exact"/>
          <w:jc w:val="center"/>
        </w:trPr>
        <w:tc>
          <w:tcPr>
            <w:tcW w:w="4077" w:type="dxa"/>
            <w:gridSpan w:val="2"/>
            <w:tcBorders>
              <w:top w:val="single" w:color="000000" w:sz="4" w:space="0"/>
              <w:left w:val="single" w:color="000000" w:sz="6" w:space="0"/>
              <w:bottom w:val="single" w:color="000000" w:sz="4" w:space="0"/>
              <w:right w:val="single" w:color="000000" w:sz="4" w:space="0"/>
            </w:tcBorders>
            <w:vAlign w:val="center"/>
          </w:tcPr>
          <w:p>
            <w:pPr>
              <w:pStyle w:val="10"/>
              <w:kinsoku w:val="0"/>
              <w:overflowPunct w:val="0"/>
              <w:spacing w:before="47"/>
              <w:ind w:left="295" w:right="302"/>
              <w:jc w:val="center"/>
              <w:rPr>
                <w:rFonts w:ascii="宋体" w:eastAsia="宋体" w:cs="宋体"/>
                <w:kern w:val="2"/>
              </w:rPr>
            </w:pPr>
            <w:r>
              <w:rPr>
                <w:rFonts w:hint="eastAsia" w:ascii="宋体" w:eastAsia="宋体" w:cs="宋体"/>
                <w:kern w:val="2"/>
              </w:rPr>
              <w:t>计划自行利用</w:t>
            </w:r>
            <w:r>
              <w:rPr>
                <w:rFonts w:eastAsia="宋体"/>
                <w:kern w:val="2"/>
              </w:rPr>
              <w:t>/</w:t>
            </w:r>
            <w:r>
              <w:rPr>
                <w:rFonts w:hint="eastAsia" w:ascii="宋体" w:eastAsia="宋体" w:cs="宋体"/>
                <w:kern w:val="2"/>
              </w:rPr>
              <w:t>处置危险废物数量</w:t>
            </w:r>
          </w:p>
          <w:p>
            <w:pPr>
              <w:pStyle w:val="10"/>
              <w:kinsoku w:val="0"/>
              <w:overflowPunct w:val="0"/>
              <w:spacing w:line="291" w:lineRule="exact"/>
              <w:ind w:left="1648" w:right="1655"/>
              <w:jc w:val="center"/>
              <w:rPr>
                <w:kern w:val="2"/>
              </w:rPr>
            </w:pPr>
            <w:r>
              <w:rPr>
                <w:rFonts w:hint="eastAsia" w:ascii="宋体" w:eastAsia="宋体" w:cs="宋体"/>
                <w:kern w:val="2"/>
              </w:rPr>
              <w:t>（吨）</w:t>
            </w:r>
          </w:p>
        </w:tc>
        <w:tc>
          <w:tcPr>
            <w:tcW w:w="4820" w:type="dxa"/>
            <w:gridSpan w:val="3"/>
            <w:tcBorders>
              <w:top w:val="single" w:color="000000" w:sz="4" w:space="0"/>
              <w:left w:val="single" w:color="000000" w:sz="4" w:space="0"/>
              <w:bottom w:val="single" w:color="000000" w:sz="4" w:space="0"/>
              <w:right w:val="single" w:color="000000" w:sz="6" w:space="0"/>
            </w:tcBorders>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lang w:val="en-US" w:eastAsia="zh-CN"/>
              </w:rPr>
              <w:t>0</w:t>
            </w:r>
          </w:p>
        </w:tc>
      </w:tr>
      <w:tr>
        <w:tblPrEx>
          <w:tblCellMar>
            <w:top w:w="0" w:type="dxa"/>
            <w:left w:w="0" w:type="dxa"/>
            <w:bottom w:w="0" w:type="dxa"/>
            <w:right w:w="0" w:type="dxa"/>
          </w:tblCellMar>
        </w:tblPrEx>
        <w:trPr>
          <w:trHeight w:val="2713" w:hRule="atLeast"/>
          <w:jc w:val="center"/>
        </w:trPr>
        <w:tc>
          <w:tcPr>
            <w:tcW w:w="8897" w:type="dxa"/>
            <w:gridSpan w:val="5"/>
            <w:tcBorders>
              <w:top w:val="single" w:color="000000" w:sz="4" w:space="0"/>
              <w:left w:val="single" w:color="000000" w:sz="6" w:space="0"/>
              <w:bottom w:val="single" w:color="000000" w:sz="4" w:space="0"/>
              <w:right w:val="single" w:color="000000" w:sz="6" w:space="0"/>
            </w:tcBorders>
            <w:vAlign w:val="center"/>
          </w:tcPr>
          <w:p>
            <w:pPr>
              <w:pStyle w:val="10"/>
              <w:kinsoku w:val="0"/>
              <w:overflowPunct w:val="0"/>
              <w:spacing w:before="47" w:line="810" w:lineRule="atLeast"/>
              <w:ind w:left="698" w:right="2179" w:hanging="240"/>
              <w:rPr>
                <w:rFonts w:ascii="宋体" w:eastAsia="宋体" w:cs="宋体"/>
                <w:kern w:val="2"/>
              </w:rPr>
            </w:pPr>
            <w:r>
              <w:rPr>
                <w:rFonts w:hint="eastAsia" w:ascii="宋体" w:eastAsia="宋体" w:cs="宋体"/>
                <w:kern w:val="2"/>
              </w:rPr>
              <w:t>声明：所填写的管理计划内容是完整的、真实的和正确的。 单位负责人</w:t>
            </w:r>
            <w:r>
              <w:rPr>
                <w:rFonts w:eastAsia="宋体"/>
                <w:kern w:val="2"/>
              </w:rPr>
              <w:t>/</w:t>
            </w:r>
            <w:r>
              <w:rPr>
                <w:rFonts w:hint="eastAsia" w:ascii="宋体" w:eastAsia="宋体" w:cs="宋体"/>
                <w:kern w:val="2"/>
              </w:rPr>
              <w:t>法定代表人签名：</w:t>
            </w:r>
          </w:p>
          <w:p>
            <w:pPr>
              <w:pStyle w:val="10"/>
              <w:tabs>
                <w:tab w:val="left" w:pos="5697"/>
                <w:tab w:val="left" w:pos="6258"/>
              </w:tabs>
              <w:kinsoku w:val="0"/>
              <w:overflowPunct w:val="0"/>
              <w:spacing w:line="465" w:lineRule="exact"/>
              <w:ind w:left="5138"/>
              <w:rPr>
                <w:kern w:val="2"/>
              </w:rPr>
            </w:pPr>
            <w:r>
              <w:rPr>
                <w:rFonts w:hint="eastAsia" w:ascii="微软雅黑" w:eastAsia="微软雅黑" w:cs="微软雅黑"/>
                <w:kern w:val="2"/>
                <w:sz w:val="28"/>
                <w:szCs w:val="28"/>
              </w:rPr>
              <w:t>年</w:t>
            </w:r>
            <w:r>
              <w:rPr>
                <w:rFonts w:hint="eastAsia" w:ascii="微软雅黑" w:eastAsia="微软雅黑" w:cs="微软雅黑"/>
                <w:kern w:val="2"/>
                <w:sz w:val="28"/>
                <w:szCs w:val="28"/>
              </w:rPr>
              <w:tab/>
            </w:r>
            <w:r>
              <w:rPr>
                <w:rFonts w:hint="eastAsia" w:ascii="微软雅黑" w:eastAsia="微软雅黑" w:cs="微软雅黑"/>
                <w:kern w:val="2"/>
                <w:sz w:val="28"/>
                <w:szCs w:val="28"/>
              </w:rPr>
              <w:t>月</w:t>
            </w:r>
            <w:r>
              <w:rPr>
                <w:rFonts w:hint="eastAsia" w:ascii="微软雅黑" w:eastAsia="微软雅黑" w:cs="微软雅黑"/>
                <w:kern w:val="2"/>
                <w:sz w:val="28"/>
                <w:szCs w:val="28"/>
              </w:rPr>
              <w:tab/>
            </w:r>
            <w:r>
              <w:rPr>
                <w:rFonts w:hint="eastAsia" w:ascii="微软雅黑" w:eastAsia="微软雅黑" w:cs="微软雅黑"/>
                <w:spacing w:val="-1"/>
                <w:kern w:val="2"/>
                <w:sz w:val="28"/>
                <w:szCs w:val="28"/>
              </w:rPr>
              <w:t>日</w:t>
            </w:r>
            <w:r>
              <w:rPr>
                <w:rFonts w:hint="eastAsia" w:ascii="微软雅黑" w:eastAsia="微软雅黑" w:cs="微软雅黑"/>
                <w:spacing w:val="-3"/>
                <w:kern w:val="2"/>
                <w:sz w:val="28"/>
                <w:szCs w:val="28"/>
              </w:rPr>
              <w:t>（</w:t>
            </w:r>
            <w:r>
              <w:rPr>
                <w:rFonts w:hint="eastAsia" w:ascii="微软雅黑" w:eastAsia="微软雅黑" w:cs="微软雅黑"/>
                <w:spacing w:val="-1"/>
                <w:kern w:val="2"/>
                <w:sz w:val="28"/>
                <w:szCs w:val="28"/>
              </w:rPr>
              <w:t>企业</w:t>
            </w:r>
            <w:r>
              <w:rPr>
                <w:rFonts w:hint="eastAsia" w:ascii="微软雅黑" w:eastAsia="微软雅黑" w:cs="微软雅黑"/>
                <w:spacing w:val="-3"/>
                <w:kern w:val="2"/>
                <w:sz w:val="28"/>
                <w:szCs w:val="28"/>
              </w:rPr>
              <w:t>公</w:t>
            </w:r>
            <w:r>
              <w:rPr>
                <w:rFonts w:hint="eastAsia" w:ascii="微软雅黑" w:eastAsia="微软雅黑" w:cs="微软雅黑"/>
                <w:spacing w:val="-1"/>
                <w:kern w:val="2"/>
                <w:sz w:val="28"/>
                <w:szCs w:val="28"/>
              </w:rPr>
              <w:t>章</w:t>
            </w:r>
            <w:r>
              <w:rPr>
                <w:rFonts w:hint="eastAsia" w:ascii="微软雅黑" w:eastAsia="微软雅黑" w:cs="微软雅黑"/>
                <w:kern w:val="2"/>
                <w:sz w:val="28"/>
                <w:szCs w:val="28"/>
              </w:rPr>
              <w:t>）</w:t>
            </w:r>
          </w:p>
        </w:tc>
      </w:tr>
      <w:tr>
        <w:tblPrEx>
          <w:tblCellMar>
            <w:top w:w="0" w:type="dxa"/>
            <w:left w:w="0" w:type="dxa"/>
            <w:bottom w:w="0" w:type="dxa"/>
            <w:right w:w="0" w:type="dxa"/>
          </w:tblCellMar>
        </w:tblPrEx>
        <w:trPr>
          <w:trHeight w:val="2599" w:hRule="atLeast"/>
          <w:jc w:val="center"/>
        </w:trPr>
        <w:tc>
          <w:tcPr>
            <w:tcW w:w="8897" w:type="dxa"/>
            <w:gridSpan w:val="5"/>
            <w:tcBorders>
              <w:top w:val="single" w:color="000000" w:sz="4" w:space="0"/>
              <w:left w:val="single" w:color="000000" w:sz="6" w:space="0"/>
              <w:bottom w:val="single" w:color="000000" w:sz="6" w:space="0"/>
              <w:right w:val="single" w:color="000000" w:sz="6" w:space="0"/>
            </w:tcBorders>
            <w:vAlign w:val="center"/>
          </w:tcPr>
          <w:p>
            <w:pPr>
              <w:pStyle w:val="10"/>
              <w:kinsoku w:val="0"/>
              <w:overflowPunct w:val="0"/>
              <w:spacing w:line="200" w:lineRule="exact"/>
              <w:rPr>
                <w:kern w:val="2"/>
                <w:sz w:val="20"/>
                <w:szCs w:val="20"/>
              </w:rPr>
            </w:pPr>
          </w:p>
          <w:p>
            <w:pPr>
              <w:pStyle w:val="10"/>
              <w:kinsoku w:val="0"/>
              <w:overflowPunct w:val="0"/>
              <w:spacing w:line="200" w:lineRule="exact"/>
              <w:rPr>
                <w:kern w:val="2"/>
                <w:sz w:val="20"/>
                <w:szCs w:val="20"/>
              </w:rPr>
            </w:pPr>
          </w:p>
          <w:p>
            <w:pPr>
              <w:pStyle w:val="10"/>
              <w:kinsoku w:val="0"/>
              <w:overflowPunct w:val="0"/>
              <w:spacing w:before="19" w:line="220" w:lineRule="exact"/>
              <w:rPr>
                <w:kern w:val="2"/>
                <w:sz w:val="22"/>
                <w:szCs w:val="22"/>
              </w:rPr>
            </w:pPr>
          </w:p>
          <w:p>
            <w:pPr>
              <w:pStyle w:val="10"/>
              <w:kinsoku w:val="0"/>
              <w:overflowPunct w:val="0"/>
              <w:ind w:left="338"/>
              <w:rPr>
                <w:rFonts w:ascii="宋体" w:eastAsia="宋体" w:cs="宋体"/>
                <w:kern w:val="2"/>
              </w:rPr>
            </w:pPr>
            <w:r>
              <w:rPr>
                <w:rFonts w:hint="eastAsia" w:ascii="宋体" w:eastAsia="宋体" w:cs="宋体"/>
                <w:kern w:val="2"/>
              </w:rPr>
              <w:t>你单位上报的《危险废物管理计划》经形式审查，符合要求，予以备案。</w:t>
            </w:r>
          </w:p>
          <w:p>
            <w:pPr>
              <w:pStyle w:val="10"/>
              <w:kinsoku w:val="0"/>
              <w:overflowPunct w:val="0"/>
              <w:spacing w:before="3" w:line="160" w:lineRule="exact"/>
              <w:rPr>
                <w:kern w:val="2"/>
                <w:sz w:val="16"/>
                <w:szCs w:val="16"/>
              </w:rPr>
            </w:pPr>
          </w:p>
          <w:p>
            <w:pPr>
              <w:pStyle w:val="10"/>
              <w:kinsoku w:val="0"/>
              <w:overflowPunct w:val="0"/>
              <w:spacing w:line="200" w:lineRule="exact"/>
              <w:rPr>
                <w:kern w:val="2"/>
                <w:sz w:val="20"/>
                <w:szCs w:val="20"/>
              </w:rPr>
            </w:pPr>
          </w:p>
          <w:p>
            <w:pPr>
              <w:pStyle w:val="10"/>
              <w:tabs>
                <w:tab w:val="left" w:pos="5697"/>
                <w:tab w:val="left" w:pos="6258"/>
              </w:tabs>
              <w:kinsoku w:val="0"/>
              <w:overflowPunct w:val="0"/>
              <w:ind w:left="5138"/>
              <w:rPr>
                <w:kern w:val="2"/>
              </w:rPr>
            </w:pPr>
            <w:r>
              <w:rPr>
                <w:rFonts w:hint="eastAsia" w:ascii="微软雅黑" w:eastAsia="微软雅黑" w:cs="微软雅黑"/>
                <w:kern w:val="2"/>
                <w:sz w:val="28"/>
                <w:szCs w:val="28"/>
              </w:rPr>
              <w:t>年</w:t>
            </w:r>
            <w:r>
              <w:rPr>
                <w:rFonts w:hint="eastAsia" w:ascii="微软雅黑" w:eastAsia="微软雅黑" w:cs="微软雅黑"/>
                <w:kern w:val="2"/>
                <w:sz w:val="28"/>
                <w:szCs w:val="28"/>
              </w:rPr>
              <w:tab/>
            </w:r>
            <w:r>
              <w:rPr>
                <w:rFonts w:hint="eastAsia" w:ascii="微软雅黑" w:eastAsia="微软雅黑" w:cs="微软雅黑"/>
                <w:kern w:val="2"/>
                <w:sz w:val="28"/>
                <w:szCs w:val="28"/>
              </w:rPr>
              <w:t>月</w:t>
            </w:r>
            <w:r>
              <w:rPr>
                <w:rFonts w:hint="eastAsia" w:ascii="微软雅黑" w:eastAsia="微软雅黑" w:cs="微软雅黑"/>
                <w:kern w:val="2"/>
                <w:sz w:val="28"/>
                <w:szCs w:val="28"/>
              </w:rPr>
              <w:tab/>
            </w:r>
            <w:r>
              <w:rPr>
                <w:rFonts w:hint="eastAsia" w:ascii="微软雅黑" w:eastAsia="微软雅黑" w:cs="微软雅黑"/>
                <w:spacing w:val="-1"/>
                <w:kern w:val="2"/>
                <w:sz w:val="28"/>
                <w:szCs w:val="28"/>
              </w:rPr>
              <w:t>日</w:t>
            </w:r>
            <w:r>
              <w:rPr>
                <w:rFonts w:hint="eastAsia" w:ascii="微软雅黑" w:eastAsia="微软雅黑" w:cs="微软雅黑"/>
                <w:spacing w:val="-3"/>
                <w:kern w:val="2"/>
                <w:sz w:val="28"/>
                <w:szCs w:val="28"/>
              </w:rPr>
              <w:t>（</w:t>
            </w:r>
            <w:r>
              <w:rPr>
                <w:rFonts w:hint="eastAsia" w:ascii="微软雅黑" w:eastAsia="微软雅黑" w:cs="微软雅黑"/>
                <w:spacing w:val="-1"/>
                <w:kern w:val="2"/>
                <w:sz w:val="28"/>
                <w:szCs w:val="28"/>
              </w:rPr>
              <w:t>主管部门公</w:t>
            </w:r>
            <w:r>
              <w:rPr>
                <w:rFonts w:hint="eastAsia" w:ascii="微软雅黑" w:eastAsia="微软雅黑" w:cs="微软雅黑"/>
                <w:spacing w:val="-3"/>
                <w:kern w:val="2"/>
                <w:sz w:val="28"/>
                <w:szCs w:val="28"/>
              </w:rPr>
              <w:t>章</w:t>
            </w:r>
            <w:r>
              <w:rPr>
                <w:rFonts w:hint="eastAsia" w:ascii="微软雅黑" w:eastAsia="微软雅黑" w:cs="微软雅黑"/>
                <w:kern w:val="2"/>
                <w:sz w:val="28"/>
                <w:szCs w:val="28"/>
              </w:rPr>
              <w:t>）</w:t>
            </w:r>
          </w:p>
        </w:tc>
      </w:tr>
    </w:tbl>
    <w:p>
      <w:pPr>
        <w:rPr>
          <w:rFonts w:hint="default"/>
          <w:lang w:val="en-US" w:eastAsia="zh-CN"/>
        </w:rPr>
        <w:sectPr>
          <w:pgSz w:w="11906" w:h="16838"/>
          <w:pgMar w:top="1440" w:right="1803" w:bottom="1440" w:left="1803" w:header="851" w:footer="992" w:gutter="0"/>
          <w:cols w:space="0" w:num="1"/>
          <w:rtlGutter w:val="0"/>
          <w:docGrid w:type="lines" w:linePitch="319" w:charSpace="0"/>
        </w:sectPr>
      </w:pPr>
    </w:p>
    <w:p>
      <w:pPr>
        <w:pageBreakBefore/>
        <w:ind w:left="2940" w:leftChars="0" w:firstLine="420" w:firstLineChars="0"/>
        <w:jc w:val="both"/>
        <w:rPr>
          <w:rFonts w:eastAsia="仿宋_GB2312"/>
          <w:b/>
          <w:color w:val="000000"/>
          <w:sz w:val="24"/>
        </w:rPr>
      </w:pPr>
      <w:r>
        <w:rPr>
          <w:rFonts w:hint="eastAsia" w:ascii="黑体" w:hAnsi="黑体" w:eastAsia="黑体" w:cs="黑体"/>
          <w:b w:val="0"/>
          <w:bCs/>
          <w:color w:val="000000"/>
          <w:sz w:val="30"/>
          <w:szCs w:val="30"/>
        </w:rPr>
        <w:t>表1</w:t>
      </w:r>
      <w:r>
        <w:rPr>
          <w:rFonts w:hint="eastAsia" w:ascii="黑体" w:hAnsi="黑体" w:eastAsia="黑体" w:cs="黑体"/>
          <w:b w:val="0"/>
          <w:bCs/>
          <w:color w:val="000000"/>
          <w:sz w:val="30"/>
          <w:szCs w:val="30"/>
          <w:lang w:val="en-US" w:eastAsia="zh-CN"/>
        </w:rPr>
        <w:t>0</w:t>
      </w:r>
      <w:r>
        <w:rPr>
          <w:rFonts w:hint="eastAsia" w:ascii="黑体" w:hAnsi="黑体" w:eastAsia="黑体" w:cs="黑体"/>
          <w:b w:val="0"/>
          <w:bCs/>
          <w:color w:val="000000"/>
          <w:sz w:val="30"/>
          <w:szCs w:val="30"/>
        </w:rPr>
        <w:t xml:space="preserve"> 申报表</w:t>
      </w:r>
    </w:p>
    <w:p>
      <w:pPr>
        <w:kinsoku w:val="0"/>
        <w:overflowPunct w:val="0"/>
        <w:spacing w:before="1" w:line="50" w:lineRule="exact"/>
        <w:rPr>
          <w:sz w:val="5"/>
          <w:szCs w:val="5"/>
        </w:rPr>
      </w:pPr>
    </w:p>
    <w:tbl>
      <w:tblPr>
        <w:tblStyle w:val="5"/>
        <w:tblW w:w="8897" w:type="dxa"/>
        <w:jc w:val="center"/>
        <w:tblLayout w:type="fixed"/>
        <w:tblCellMar>
          <w:top w:w="0" w:type="dxa"/>
          <w:left w:w="0" w:type="dxa"/>
          <w:bottom w:w="0" w:type="dxa"/>
          <w:right w:w="0" w:type="dxa"/>
        </w:tblCellMar>
      </w:tblPr>
      <w:tblGrid>
        <w:gridCol w:w="1889"/>
        <w:gridCol w:w="1984"/>
        <w:gridCol w:w="2268"/>
        <w:gridCol w:w="2756"/>
      </w:tblGrid>
      <w:tr>
        <w:tblPrEx>
          <w:tblCellMar>
            <w:top w:w="0" w:type="dxa"/>
            <w:left w:w="0" w:type="dxa"/>
            <w:bottom w:w="0" w:type="dxa"/>
            <w:right w:w="0" w:type="dxa"/>
          </w:tblCellMar>
        </w:tblPrEx>
        <w:trPr>
          <w:trHeight w:val="709" w:hRule="atLeast"/>
          <w:jc w:val="center"/>
        </w:trPr>
        <w:tc>
          <w:tcPr>
            <w:tcW w:w="1889" w:type="dxa"/>
            <w:tcBorders>
              <w:top w:val="single" w:color="000000" w:sz="6" w:space="0"/>
              <w:left w:val="single" w:color="000000" w:sz="6" w:space="0"/>
              <w:bottom w:val="single" w:color="000000" w:sz="4" w:space="0"/>
              <w:right w:val="single" w:color="000000" w:sz="4" w:space="0"/>
            </w:tcBorders>
            <w:vAlign w:val="center"/>
          </w:tcPr>
          <w:p>
            <w:pPr>
              <w:pStyle w:val="10"/>
              <w:kinsoku w:val="0"/>
              <w:overflowPunct w:val="0"/>
              <w:spacing w:before="5" w:line="110" w:lineRule="exact"/>
              <w:jc w:val="center"/>
              <w:rPr>
                <w:kern w:val="2"/>
                <w:sz w:val="11"/>
                <w:szCs w:val="11"/>
              </w:rPr>
            </w:pPr>
          </w:p>
          <w:p>
            <w:pPr>
              <w:pStyle w:val="10"/>
              <w:kinsoku w:val="0"/>
              <w:overflowPunct w:val="0"/>
              <w:ind w:left="98"/>
              <w:jc w:val="center"/>
              <w:rPr>
                <w:kern w:val="2"/>
              </w:rPr>
            </w:pPr>
            <w:r>
              <w:rPr>
                <w:rFonts w:hint="eastAsia" w:ascii="宋体" w:eastAsia="宋体" w:cs="宋体"/>
                <w:kern w:val="2"/>
              </w:rPr>
              <w:t>单位名称</w:t>
            </w:r>
          </w:p>
        </w:tc>
        <w:tc>
          <w:tcPr>
            <w:tcW w:w="1984" w:type="dxa"/>
            <w:tcBorders>
              <w:top w:val="single" w:color="000000" w:sz="6" w:space="0"/>
              <w:left w:val="single" w:color="000000" w:sz="4" w:space="0"/>
              <w:bottom w:val="single" w:color="000000" w:sz="4" w:space="0"/>
              <w:right w:val="single" w:color="000000" w:sz="6" w:space="0"/>
            </w:tcBorders>
            <w:vAlign w:val="center"/>
          </w:tcPr>
          <w:p>
            <w:pPr>
              <w:rPr>
                <w:rFonts w:hint="default" w:eastAsiaTheme="minorEastAsia"/>
                <w:lang w:val="en-US" w:eastAsia="zh-CN"/>
              </w:rPr>
            </w:pPr>
            <w:r>
              <w:rPr>
                <w:rFonts w:hint="eastAsia" w:asciiTheme="minorEastAsia" w:hAnsiTheme="minorEastAsia" w:eastAsiaTheme="minorEastAsia" w:cstheme="minorEastAsia"/>
                <w:color w:val="000000"/>
                <w:sz w:val="24"/>
                <w:szCs w:val="24"/>
                <w:lang w:val="en-US" w:eastAsia="zh-CN"/>
              </w:rPr>
              <w:t>宁夏华御化工有限公司</w:t>
            </w:r>
          </w:p>
        </w:tc>
        <w:tc>
          <w:tcPr>
            <w:tcW w:w="2268" w:type="dxa"/>
            <w:tcBorders>
              <w:top w:val="single" w:color="000000" w:sz="6" w:space="0"/>
              <w:left w:val="single" w:color="000000" w:sz="4" w:space="0"/>
              <w:bottom w:val="single" w:color="000000" w:sz="4" w:space="0"/>
              <w:right w:val="single" w:color="000000" w:sz="6" w:space="0"/>
            </w:tcBorders>
            <w:vAlign w:val="center"/>
          </w:tcPr>
          <w:p>
            <w:pPr>
              <w:pStyle w:val="10"/>
              <w:kinsoku w:val="0"/>
              <w:overflowPunct w:val="0"/>
              <w:spacing w:before="5" w:line="110" w:lineRule="exact"/>
              <w:jc w:val="center"/>
              <w:rPr>
                <w:kern w:val="2"/>
                <w:sz w:val="11"/>
                <w:szCs w:val="11"/>
              </w:rPr>
            </w:pPr>
          </w:p>
          <w:p>
            <w:pPr>
              <w:jc w:val="center"/>
              <w:rPr>
                <w:rFonts w:hint="default" w:eastAsiaTheme="minorEastAsia"/>
                <w:lang w:val="en-US" w:eastAsia="zh-CN"/>
              </w:rPr>
            </w:pPr>
            <w:r>
              <w:rPr>
                <w:rFonts w:hint="eastAsia"/>
                <w:sz w:val="24"/>
                <w:szCs w:val="24"/>
                <w:lang w:val="en-US" w:eastAsia="zh-CN"/>
              </w:rPr>
              <w:t>管理类别</w:t>
            </w:r>
          </w:p>
        </w:tc>
        <w:tc>
          <w:tcPr>
            <w:tcW w:w="2756" w:type="dxa"/>
            <w:tcBorders>
              <w:top w:val="single" w:color="000000" w:sz="6" w:space="0"/>
              <w:left w:val="single" w:color="000000" w:sz="4" w:space="0"/>
              <w:bottom w:val="single" w:color="000000" w:sz="4" w:space="0"/>
              <w:right w:val="single" w:color="000000" w:sz="6" w:space="0"/>
            </w:tcBorders>
            <w:vAlign w:val="center"/>
          </w:tcPr>
          <w:p>
            <w:pPr>
              <w:tabs>
                <w:tab w:val="left" w:pos="607"/>
              </w:tabs>
              <w:rPr>
                <w:rFonts w:hint="default" w:eastAsiaTheme="minorEastAsia"/>
                <w:lang w:val="en-US" w:eastAsia="zh-CN"/>
              </w:rPr>
            </w:pPr>
            <w:r>
              <w:rPr>
                <w:rFonts w:hint="eastAsia" w:asciiTheme="minorEastAsia" w:hAnsiTheme="minorEastAsia" w:eastAsiaTheme="minorEastAsia" w:cstheme="minorEastAsia"/>
                <w:sz w:val="24"/>
                <w:szCs w:val="24"/>
                <w:lang w:val="en-US" w:eastAsia="zh-CN"/>
              </w:rPr>
              <w:t>重点监管单位</w:t>
            </w:r>
          </w:p>
        </w:tc>
      </w:tr>
      <w:tr>
        <w:tblPrEx>
          <w:tblCellMar>
            <w:top w:w="0" w:type="dxa"/>
            <w:left w:w="0" w:type="dxa"/>
            <w:bottom w:w="0" w:type="dxa"/>
            <w:right w:w="0" w:type="dxa"/>
          </w:tblCellMar>
        </w:tblPrEx>
        <w:trPr>
          <w:jc w:val="center"/>
        </w:trPr>
        <w:tc>
          <w:tcPr>
            <w:tcW w:w="1889" w:type="dxa"/>
            <w:tcBorders>
              <w:top w:val="single" w:color="000000" w:sz="4" w:space="0"/>
              <w:left w:val="single" w:color="000000" w:sz="6" w:space="0"/>
              <w:bottom w:val="single" w:color="000000" w:sz="4" w:space="0"/>
              <w:right w:val="single" w:color="000000" w:sz="4" w:space="0"/>
            </w:tcBorders>
            <w:vAlign w:val="center"/>
          </w:tcPr>
          <w:p>
            <w:pPr>
              <w:pStyle w:val="10"/>
              <w:kinsoku w:val="0"/>
              <w:overflowPunct w:val="0"/>
              <w:spacing w:before="7" w:line="110" w:lineRule="exact"/>
              <w:jc w:val="center"/>
              <w:rPr>
                <w:kern w:val="2"/>
                <w:sz w:val="11"/>
                <w:szCs w:val="11"/>
              </w:rPr>
            </w:pPr>
          </w:p>
          <w:p>
            <w:pPr>
              <w:pStyle w:val="10"/>
              <w:kinsoku w:val="0"/>
              <w:overflowPunct w:val="0"/>
              <w:ind w:left="98"/>
              <w:jc w:val="center"/>
              <w:rPr>
                <w:kern w:val="2"/>
              </w:rPr>
            </w:pPr>
            <w:r>
              <w:rPr>
                <w:rFonts w:hint="eastAsia" w:ascii="宋体" w:eastAsia="宋体" w:cs="宋体"/>
                <w:kern w:val="2"/>
              </w:rPr>
              <w:t>法定代表人</w:t>
            </w:r>
          </w:p>
        </w:tc>
        <w:tc>
          <w:tcPr>
            <w:tcW w:w="1984" w:type="dxa"/>
            <w:tcBorders>
              <w:top w:val="single" w:color="000000" w:sz="4" w:space="0"/>
              <w:left w:val="single" w:color="000000" w:sz="4" w:space="0"/>
              <w:bottom w:val="single" w:color="000000" w:sz="4" w:space="0"/>
              <w:right w:val="single" w:color="000000" w:sz="6" w:space="0"/>
            </w:tcBorders>
            <w:vAlign w:val="center"/>
          </w:tcPr>
          <w:p>
            <w:pPr>
              <w:rPr>
                <w:rFonts w:hint="default" w:eastAsiaTheme="minorEastAsia"/>
                <w:lang w:val="en-US" w:eastAsia="zh-CN"/>
              </w:rPr>
            </w:pPr>
            <w:r>
              <w:rPr>
                <w:rFonts w:hint="eastAsia" w:asciiTheme="minorEastAsia" w:hAnsiTheme="minorEastAsia" w:eastAsiaTheme="minorEastAsia" w:cstheme="minorEastAsia"/>
                <w:color w:val="000000"/>
                <w:sz w:val="24"/>
                <w:szCs w:val="24"/>
                <w:lang w:val="en-US" w:eastAsia="zh-CN"/>
              </w:rPr>
              <w:t>范德芳</w:t>
            </w:r>
          </w:p>
        </w:tc>
        <w:tc>
          <w:tcPr>
            <w:tcW w:w="2268" w:type="dxa"/>
            <w:tcBorders>
              <w:top w:val="single" w:color="000000" w:sz="4" w:space="0"/>
              <w:left w:val="single" w:color="000000" w:sz="4" w:space="0"/>
              <w:bottom w:val="single" w:color="000000" w:sz="4" w:space="0"/>
              <w:right w:val="single" w:color="000000" w:sz="6" w:space="0"/>
            </w:tcBorders>
            <w:vAlign w:val="center"/>
          </w:tcPr>
          <w:p>
            <w:pPr>
              <w:pStyle w:val="10"/>
              <w:kinsoku w:val="0"/>
              <w:overflowPunct w:val="0"/>
              <w:spacing w:before="5" w:line="110" w:lineRule="exact"/>
              <w:jc w:val="center"/>
              <w:rPr>
                <w:kern w:val="2"/>
                <w:sz w:val="11"/>
                <w:szCs w:val="11"/>
              </w:rPr>
            </w:pPr>
          </w:p>
          <w:p>
            <w:pPr>
              <w:jc w:val="center"/>
            </w:pPr>
            <w:r>
              <w:rPr>
                <w:rFonts w:hint="eastAsia" w:ascii="宋体" w:hAnsi="Times New Roman" w:eastAsia="宋体" w:cs="宋体"/>
                <w:sz w:val="24"/>
                <w:szCs w:val="24"/>
              </w:rPr>
              <w:t>经营设施地址</w:t>
            </w:r>
          </w:p>
        </w:tc>
        <w:tc>
          <w:tcPr>
            <w:tcW w:w="2756" w:type="dxa"/>
            <w:tcBorders>
              <w:top w:val="single" w:color="000000" w:sz="4" w:space="0"/>
              <w:left w:val="single" w:color="000000" w:sz="4" w:space="0"/>
              <w:bottom w:val="single" w:color="000000" w:sz="4" w:space="0"/>
              <w:right w:val="single" w:color="000000" w:sz="6" w:space="0"/>
            </w:tcBorders>
            <w:vAlign w:val="center"/>
          </w:tcPr>
          <w:p>
            <w:pPr>
              <w:rPr>
                <w:rFonts w:hint="default" w:eastAsiaTheme="minorEastAsia"/>
                <w:lang w:val="en-US" w:eastAsia="zh-CN"/>
              </w:rPr>
            </w:pPr>
            <w:r>
              <w:rPr>
                <w:rFonts w:hint="eastAsia" w:asciiTheme="minorEastAsia" w:hAnsiTheme="minorEastAsia" w:eastAsiaTheme="minorEastAsia" w:cstheme="minorEastAsia"/>
                <w:color w:val="000000"/>
                <w:sz w:val="24"/>
                <w:szCs w:val="24"/>
                <w:lang w:val="en-US" w:eastAsia="zh-CN"/>
              </w:rPr>
              <w:t>宁夏中卫市工业园区利华路</w:t>
            </w:r>
          </w:p>
        </w:tc>
      </w:tr>
      <w:tr>
        <w:tblPrEx>
          <w:tblCellMar>
            <w:top w:w="0" w:type="dxa"/>
            <w:left w:w="0" w:type="dxa"/>
            <w:bottom w:w="0" w:type="dxa"/>
            <w:right w:w="0" w:type="dxa"/>
          </w:tblCellMar>
        </w:tblPrEx>
        <w:trPr>
          <w:trHeight w:val="708" w:hRule="exact"/>
          <w:jc w:val="center"/>
        </w:trPr>
        <w:tc>
          <w:tcPr>
            <w:tcW w:w="1889" w:type="dxa"/>
            <w:tcBorders>
              <w:top w:val="single" w:color="000000" w:sz="4" w:space="0"/>
              <w:left w:val="single" w:color="000000" w:sz="6" w:space="0"/>
              <w:bottom w:val="single" w:color="000000" w:sz="4" w:space="0"/>
              <w:right w:val="single" w:color="000000" w:sz="4" w:space="0"/>
            </w:tcBorders>
            <w:vAlign w:val="center"/>
          </w:tcPr>
          <w:p>
            <w:pPr>
              <w:pStyle w:val="10"/>
              <w:kinsoku w:val="0"/>
              <w:overflowPunct w:val="0"/>
              <w:spacing w:before="5" w:line="110" w:lineRule="exact"/>
              <w:jc w:val="center"/>
              <w:rPr>
                <w:kern w:val="2"/>
                <w:sz w:val="11"/>
                <w:szCs w:val="11"/>
              </w:rPr>
            </w:pPr>
          </w:p>
          <w:p>
            <w:pPr>
              <w:pStyle w:val="10"/>
              <w:kinsoku w:val="0"/>
              <w:overflowPunct w:val="0"/>
              <w:ind w:left="98"/>
              <w:jc w:val="center"/>
              <w:rPr>
                <w:kern w:val="2"/>
              </w:rPr>
            </w:pPr>
            <w:r>
              <w:rPr>
                <w:rFonts w:hint="eastAsia" w:ascii="宋体" w:eastAsia="宋体" w:cs="宋体"/>
                <w:kern w:val="2"/>
              </w:rPr>
              <w:t>行业类型</w:t>
            </w:r>
          </w:p>
        </w:tc>
        <w:tc>
          <w:tcPr>
            <w:tcW w:w="1984" w:type="dxa"/>
            <w:tcBorders>
              <w:top w:val="single" w:color="000000" w:sz="4" w:space="0"/>
              <w:left w:val="single" w:color="000000" w:sz="4" w:space="0"/>
              <w:bottom w:val="single" w:color="000000" w:sz="4" w:space="0"/>
              <w:right w:val="single" w:color="000000" w:sz="4" w:space="0"/>
            </w:tcBorders>
            <w:vAlign w:val="center"/>
          </w:tcPr>
          <w:p>
            <w:pPr>
              <w:rPr>
                <w:rFonts w:hint="eastAsia" w:eastAsia="黑体"/>
                <w:lang w:val="en-US" w:eastAsia="zh-CN"/>
              </w:rPr>
            </w:pPr>
            <w:r>
              <w:rPr>
                <w:rFonts w:hint="eastAsia" w:asciiTheme="minorEastAsia" w:hAnsiTheme="minorEastAsia" w:eastAsiaTheme="minorEastAsia" w:cstheme="minorEastAsia"/>
                <w:color w:val="000000"/>
                <w:sz w:val="24"/>
                <w:szCs w:val="24"/>
                <w:lang w:val="en-US" w:eastAsia="zh-CN"/>
              </w:rPr>
              <w:t>有机化学原料制造</w:t>
            </w:r>
          </w:p>
        </w:tc>
        <w:tc>
          <w:tcPr>
            <w:tcW w:w="2268" w:type="dxa"/>
            <w:tcBorders>
              <w:top w:val="single" w:color="000000" w:sz="4" w:space="0"/>
              <w:left w:val="single" w:color="000000" w:sz="4" w:space="0"/>
              <w:bottom w:val="single" w:color="000000" w:sz="4" w:space="0"/>
              <w:right w:val="single" w:color="000000" w:sz="4" w:space="0"/>
            </w:tcBorders>
            <w:vAlign w:val="center"/>
          </w:tcPr>
          <w:p>
            <w:pPr>
              <w:pStyle w:val="10"/>
              <w:kinsoku w:val="0"/>
              <w:overflowPunct w:val="0"/>
              <w:spacing w:before="5" w:line="110" w:lineRule="exact"/>
              <w:jc w:val="center"/>
              <w:rPr>
                <w:kern w:val="2"/>
                <w:sz w:val="11"/>
                <w:szCs w:val="11"/>
              </w:rPr>
            </w:pPr>
          </w:p>
          <w:p>
            <w:pPr>
              <w:pStyle w:val="10"/>
              <w:kinsoku w:val="0"/>
              <w:overflowPunct w:val="0"/>
              <w:ind w:left="102"/>
              <w:jc w:val="center"/>
              <w:rPr>
                <w:rFonts w:hint="eastAsia" w:eastAsia="宋体"/>
                <w:kern w:val="2"/>
                <w:lang w:val="en-US" w:eastAsia="zh-CN"/>
              </w:rPr>
            </w:pPr>
            <w:r>
              <w:rPr>
                <w:rFonts w:hint="eastAsia" w:ascii="宋体" w:eastAsia="宋体" w:cs="宋体"/>
                <w:kern w:val="2"/>
                <w:lang w:val="en-US" w:eastAsia="zh-CN"/>
              </w:rPr>
              <w:t>环保负责人</w:t>
            </w:r>
            <w:r>
              <w:rPr>
                <w:rFonts w:eastAsia="宋体"/>
                <w:kern w:val="2"/>
              </w:rPr>
              <w:t>/</w:t>
            </w:r>
            <w:r>
              <w:rPr>
                <w:rFonts w:hint="eastAsia" w:eastAsia="宋体"/>
                <w:kern w:val="2"/>
                <w:lang w:val="en-US" w:eastAsia="zh-CN"/>
              </w:rPr>
              <w:t>联系电话</w:t>
            </w:r>
            <w:bookmarkStart w:id="1" w:name="_GoBack"/>
            <w:bookmarkEnd w:id="1"/>
          </w:p>
        </w:tc>
        <w:tc>
          <w:tcPr>
            <w:tcW w:w="2756" w:type="dxa"/>
            <w:tcBorders>
              <w:top w:val="single" w:color="000000" w:sz="4" w:space="0"/>
              <w:left w:val="single" w:color="000000" w:sz="4" w:space="0"/>
              <w:bottom w:val="single" w:color="000000" w:sz="4" w:space="0"/>
              <w:right w:val="single" w:color="000000" w:sz="6" w:space="0"/>
            </w:tcBorders>
            <w:vAlign w:val="center"/>
          </w:tcPr>
          <w:p>
            <w:pP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顾家立</w:t>
            </w:r>
            <w:r>
              <w:rPr>
                <w:rFonts w:hint="eastAsia" w:asciiTheme="minorEastAsia" w:hAnsiTheme="minorEastAsia" w:eastAsiaTheme="minorEastAsia" w:cstheme="minorEastAsia"/>
                <w:color w:val="000000"/>
                <w:sz w:val="24"/>
                <w:szCs w:val="24"/>
              </w:rPr>
              <w:t>/</w:t>
            </w:r>
          </w:p>
          <w:p>
            <w:r>
              <w:rPr>
                <w:rFonts w:hint="eastAsia" w:asciiTheme="minorEastAsia" w:hAnsiTheme="minorEastAsia" w:eastAsiaTheme="minorEastAsia" w:cstheme="minorEastAsia"/>
                <w:color w:val="000000"/>
                <w:sz w:val="24"/>
                <w:szCs w:val="24"/>
                <w:lang w:val="en-US" w:eastAsia="zh-CN"/>
              </w:rPr>
              <w:t>0955-7606666</w:t>
            </w:r>
          </w:p>
        </w:tc>
      </w:tr>
      <w:tr>
        <w:tblPrEx>
          <w:tblCellMar>
            <w:top w:w="0" w:type="dxa"/>
            <w:left w:w="0" w:type="dxa"/>
            <w:bottom w:w="0" w:type="dxa"/>
            <w:right w:w="0" w:type="dxa"/>
          </w:tblCellMar>
        </w:tblPrEx>
        <w:trPr>
          <w:trHeight w:val="782" w:hRule="exact"/>
          <w:jc w:val="center"/>
        </w:trPr>
        <w:tc>
          <w:tcPr>
            <w:tcW w:w="1889" w:type="dxa"/>
            <w:tcBorders>
              <w:top w:val="single" w:color="000000" w:sz="4" w:space="0"/>
              <w:left w:val="single" w:color="000000" w:sz="6" w:space="0"/>
              <w:bottom w:val="single" w:color="000000" w:sz="4" w:space="0"/>
              <w:right w:val="single" w:color="000000" w:sz="4" w:space="0"/>
            </w:tcBorders>
            <w:vAlign w:val="center"/>
          </w:tcPr>
          <w:p>
            <w:pPr>
              <w:pStyle w:val="10"/>
              <w:kinsoku w:val="0"/>
              <w:overflowPunct w:val="0"/>
              <w:spacing w:before="41"/>
              <w:ind w:left="98"/>
              <w:jc w:val="center"/>
              <w:rPr>
                <w:kern w:val="2"/>
              </w:rPr>
            </w:pPr>
            <w:r>
              <w:rPr>
                <w:rFonts w:hint="eastAsia" w:ascii="宋体" w:hAnsi="Times New Roman" w:eastAsia="宋体" w:cs="宋体"/>
                <w:sz w:val="24"/>
                <w:szCs w:val="24"/>
              </w:rPr>
              <w:t>单位类别</w:t>
            </w:r>
          </w:p>
        </w:tc>
        <w:tc>
          <w:tcPr>
            <w:tcW w:w="7008" w:type="dxa"/>
            <w:gridSpan w:val="3"/>
            <w:tcBorders>
              <w:top w:val="single" w:color="000000" w:sz="4" w:space="0"/>
              <w:left w:val="single" w:color="000000" w:sz="4" w:space="0"/>
              <w:bottom w:val="single" w:color="000000" w:sz="4" w:space="0"/>
              <w:right w:val="single" w:color="000000" w:sz="6" w:space="0"/>
            </w:tcBorders>
            <w:vAlign w:val="center"/>
          </w:tcPr>
          <w:p>
            <w:pPr>
              <w:tabs>
                <w:tab w:val="left" w:pos="1274"/>
              </w:tabs>
              <w:rPr>
                <w:rFonts w:hint="default" w:eastAsiaTheme="minorEastAsia"/>
                <w:lang w:val="en-US" w:eastAsia="zh-CN"/>
              </w:rPr>
            </w:pPr>
            <w:r>
              <w:rPr>
                <w:rFonts w:hint="eastAsia" w:asciiTheme="minorEastAsia" w:hAnsiTheme="minorEastAsia" w:eastAsiaTheme="minorEastAsia" w:cstheme="minorEastAsia"/>
                <w:color w:val="000000"/>
                <w:sz w:val="24"/>
                <w:szCs w:val="24"/>
                <w:lang w:val="en-US" w:eastAsia="zh-CN"/>
              </w:rPr>
              <w:t>危险废物产生单位, 一般工业固体废物产生单位</w:t>
            </w:r>
          </w:p>
        </w:tc>
      </w:tr>
      <w:tr>
        <w:tblPrEx>
          <w:tblCellMar>
            <w:top w:w="0" w:type="dxa"/>
            <w:left w:w="0" w:type="dxa"/>
            <w:bottom w:w="0" w:type="dxa"/>
            <w:right w:w="0" w:type="dxa"/>
          </w:tblCellMar>
        </w:tblPrEx>
        <w:trPr>
          <w:trHeight w:val="10061" w:hRule="atLeast"/>
          <w:jc w:val="center"/>
        </w:trPr>
        <w:tc>
          <w:tcPr>
            <w:tcW w:w="8897" w:type="dxa"/>
            <w:gridSpan w:val="4"/>
            <w:tcBorders>
              <w:top w:val="single" w:color="000000" w:sz="4" w:space="0"/>
              <w:left w:val="single" w:color="000000" w:sz="6" w:space="0"/>
              <w:bottom w:val="single" w:color="000000" w:sz="6" w:space="0"/>
              <w:right w:val="single" w:color="000000" w:sz="6" w:space="0"/>
            </w:tcBorders>
          </w:tcPr>
          <w:tbl>
            <w:tblPr>
              <w:tblStyle w:val="6"/>
              <w:tblW w:w="88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0"/>
              <w:gridCol w:w="1480"/>
              <w:gridCol w:w="1480"/>
              <w:gridCol w:w="1481"/>
              <w:gridCol w:w="1481"/>
              <w:gridCol w:w="1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0" w:type="dxa"/>
                  <w:tcBorders>
                    <w:top w:val="nil"/>
                  </w:tcBorders>
                  <w:vAlign w:val="center"/>
                </w:tcPr>
                <w:p>
                  <w:pPr>
                    <w:pStyle w:val="10"/>
                    <w:tabs>
                      <w:tab w:val="left" w:pos="3500"/>
                    </w:tabs>
                    <w:kinsoku w:val="0"/>
                    <w:overflowPunct w:val="0"/>
                    <w:spacing w:line="312" w:lineRule="exact"/>
                    <w:jc w:val="center"/>
                    <w:rPr>
                      <w:rFonts w:hint="default" w:eastAsiaTheme="minorEastAsia"/>
                      <w:kern w:val="2"/>
                      <w:vertAlign w:val="baseline"/>
                      <w:lang w:val="en-US" w:eastAsia="zh-CN"/>
                    </w:rPr>
                  </w:pPr>
                  <w:bookmarkStart w:id="0" w:name="SQ_Table"/>
                  <w:bookmarkEnd w:id="0"/>
                  <w:r>
                    <w:rPr>
                      <w:rFonts w:hint="eastAsia"/>
                      <w:kern w:val="2"/>
                      <w:vertAlign w:val="baseline"/>
                      <w:lang w:val="en-US" w:eastAsia="zh-CN"/>
                    </w:rPr>
                    <w:t>序号</w:t>
                  </w:r>
                  <w:r>
                    <w:rPr>
                      <w:rFonts w:hint="eastAsia" w:asciiTheme="minorEastAsia" w:hAnsiTheme="minorEastAsia" w:eastAsiaTheme="minorEastAsia" w:cstheme="minorEastAsia"/>
                      <w:kern w:val="2"/>
                      <w:vertAlign w:val="baseline"/>
                      <w:lang w:val="en-US" w:eastAsia="zh-CN"/>
                    </w:rPr>
                    <w:t/>
                  </w:r>
                </w:p>
              </w:tc>
              <w:tc>
                <w:tcPr>
                  <w:tcW w:w="1480" w:type="dxa"/>
                  <w:tcBorders>
                    <w:top w:val="nil"/>
                  </w:tcBorders>
                  <w:vAlign w:val="center"/>
                </w:tcPr>
                <w:p>
                  <w:pPr>
                    <w:pStyle w:val="10"/>
                    <w:tabs>
                      <w:tab w:val="left" w:pos="3500"/>
                    </w:tabs>
                    <w:kinsoku w:val="0"/>
                    <w:overflowPunct w:val="0"/>
                    <w:spacing w:line="312" w:lineRule="exact"/>
                    <w:jc w:val="center"/>
                    <w:rPr>
                      <w:rFonts w:hint="default" w:eastAsiaTheme="minorEastAsia"/>
                      <w:kern w:val="2"/>
                      <w:vertAlign w:val="baseline"/>
                      <w:lang w:val="en-US" w:eastAsia="zh-CN"/>
                    </w:rPr>
                  </w:pPr>
                  <w:r>
                    <w:rPr>
                      <w:rFonts w:hint="eastAsia"/>
                      <w:kern w:val="2"/>
                      <w:vertAlign w:val="baseline"/>
                      <w:lang w:val="en-US" w:eastAsia="zh-CN"/>
                    </w:rPr>
                    <w:t>废物名称</w:t>
                  </w:r>
                </w:p>
              </w:tc>
              <w:tc>
                <w:tcPr>
                  <w:tcW w:w="1480" w:type="dxa"/>
                  <w:tcBorders>
                    <w:top w:val="nil"/>
                  </w:tcBorders>
                  <w:vAlign w:val="center"/>
                </w:tcPr>
                <w:p>
                  <w:pPr>
                    <w:pStyle w:val="10"/>
                    <w:tabs>
                      <w:tab w:val="left" w:pos="3500"/>
                    </w:tabs>
                    <w:kinsoku w:val="0"/>
                    <w:overflowPunct w:val="0"/>
                    <w:spacing w:line="312" w:lineRule="exact"/>
                    <w:jc w:val="center"/>
                    <w:rPr>
                      <w:rFonts w:hint="default" w:eastAsiaTheme="minorEastAsia"/>
                      <w:kern w:val="2"/>
                      <w:vertAlign w:val="baseline"/>
                      <w:lang w:val="en-US" w:eastAsia="zh-CN"/>
                    </w:rPr>
                  </w:pPr>
                  <w:r>
                    <w:rPr>
                      <w:rFonts w:hint="eastAsia"/>
                      <w:kern w:val="2"/>
                      <w:vertAlign w:val="baseline"/>
                      <w:lang w:val="en-US" w:eastAsia="zh-CN"/>
                    </w:rPr>
                    <w:t>废物代码</w:t>
                  </w:r>
                </w:p>
              </w:tc>
              <w:tc>
                <w:tcPr>
                  <w:tcW w:w="1481" w:type="dxa"/>
                  <w:tcBorders>
                    <w:top w:val="nil"/>
                  </w:tcBorders>
                  <w:vAlign w:val="center"/>
                </w:tcPr>
                <w:p>
                  <w:pPr>
                    <w:pStyle w:val="10"/>
                    <w:tabs>
                      <w:tab w:val="left" w:pos="3500"/>
                    </w:tabs>
                    <w:kinsoku w:val="0"/>
                    <w:overflowPunct w:val="0"/>
                    <w:spacing w:line="312" w:lineRule="exact"/>
                    <w:jc w:val="center"/>
                    <w:rPr>
                      <w:rFonts w:hint="default" w:eastAsiaTheme="minorEastAsia"/>
                      <w:kern w:val="2"/>
                      <w:vertAlign w:val="baseline"/>
                      <w:lang w:val="en-US" w:eastAsia="zh-CN"/>
                    </w:rPr>
                  </w:pPr>
                  <w:r>
                    <w:rPr>
                      <w:rFonts w:hint="eastAsia"/>
                      <w:kern w:val="2"/>
                      <w:vertAlign w:val="baseline"/>
                      <w:lang w:val="en-US" w:eastAsia="zh-CN"/>
                    </w:rPr>
                    <w:t>本年度产量</w:t>
                  </w:r>
                </w:p>
              </w:tc>
              <w:tc>
                <w:tcPr>
                  <w:tcW w:w="1481" w:type="dxa"/>
                  <w:tcBorders>
                    <w:top w:val="nil"/>
                  </w:tcBorders>
                  <w:vAlign w:val="center"/>
                </w:tcPr>
                <w:p>
                  <w:pPr>
                    <w:pStyle w:val="10"/>
                    <w:tabs>
                      <w:tab w:val="left" w:pos="3500"/>
                    </w:tabs>
                    <w:kinsoku w:val="0"/>
                    <w:overflowPunct w:val="0"/>
                    <w:spacing w:line="312" w:lineRule="exact"/>
                    <w:jc w:val="center"/>
                    <w:rPr>
                      <w:rFonts w:hint="default" w:eastAsiaTheme="minorEastAsia"/>
                      <w:kern w:val="2"/>
                      <w:vertAlign w:val="baseline"/>
                      <w:lang w:val="en-US" w:eastAsia="zh-CN"/>
                    </w:rPr>
                  </w:pPr>
                  <w:r>
                    <w:rPr>
                      <w:rFonts w:hint="eastAsia"/>
                      <w:kern w:val="2"/>
                      <w:vertAlign w:val="baseline"/>
                      <w:lang w:val="en-US" w:eastAsia="zh-CN"/>
                    </w:rPr>
                    <w:t>处置（自行利用）</w:t>
                  </w:r>
                </w:p>
              </w:tc>
              <w:tc>
                <w:tcPr>
                  <w:tcW w:w="1481" w:type="dxa"/>
                  <w:tcBorders>
                    <w:top w:val="nil"/>
                  </w:tcBorders>
                  <w:vAlign w:val="center"/>
                </w:tcPr>
                <w:p>
                  <w:pPr>
                    <w:pStyle w:val="10"/>
                    <w:tabs>
                      <w:tab w:val="left" w:pos="3500"/>
                    </w:tabs>
                    <w:kinsoku w:val="0"/>
                    <w:overflowPunct w:val="0"/>
                    <w:spacing w:line="312" w:lineRule="exact"/>
                    <w:jc w:val="center"/>
                    <w:rPr>
                      <w:rFonts w:hint="default" w:eastAsiaTheme="minorEastAsia"/>
                      <w:kern w:val="2"/>
                      <w:vertAlign w:val="baseline"/>
                      <w:lang w:val="en-US" w:eastAsia="zh-CN"/>
                    </w:rPr>
                  </w:pPr>
                  <w:r>
                    <w:rPr>
                      <w:rFonts w:hint="eastAsia"/>
                      <w:kern w:val="2"/>
                      <w:vertAlign w:val="baseline"/>
                      <w:lang w:val="en-US" w:eastAsia="zh-CN"/>
                    </w:rPr>
                    <w:t>处置（委托利用）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480" w:type="dxa"/>
                  <w:tcBorders>
                    <w:left w:val="nil"/>
                  </w:tcBorders>
                  <w:vAlign w:val="center"/>
                </w:tcPr>
                <w:p>
                  <w:pPr>
                    <w:pStyle w:val="10"/>
                    <w:tabs>
                      <w:tab w:val="left" w:pos="3500"/>
                    </w:tabs>
                    <w:kinsoku w:val="0"/>
                    <w:overflowPunct w:val="0"/>
                    <w:spacing w:line="312" w:lineRule="exact"/>
                    <w:rPr>
                      <w:rFonts w:hint="eastAsia" w:asciiTheme="minorEastAsia" w:hAnsiTheme="minorEastAsia" w:eastAsiaTheme="minorEastAsia" w:cstheme="minorEastAsia"/>
                      <w:kern w:val="2"/>
                      <w:vertAlign w:val="baseline"/>
                      <w:lang w:val="en-US" w:eastAsia="zh-CN"/>
                    </w:rPr>
                  </w:pPr>
                  <w:r>
                    <w:rPr>
                      <w:rFonts w:hint="eastAsia" w:asciiTheme="minorEastAsia" w:hAnsiTheme="minorEastAsia" w:eastAsiaTheme="minorEastAsia" w:cstheme="minorEastAsia"/>
                      <w:kern w:val="2"/>
                      <w:vertAlign w:val="baseline"/>
                      <w:lang w:val="en-US" w:eastAsia="zh-CN"/>
                    </w:rPr>
                    <w:t>1</w:t>
                  </w:r>
                </w:p>
              </w:tc>
              <w:tc>
                <w:tcPr>
                  <w:tcW w:w="1480" w:type="dxa"/>
                  <w:vAlign w:val="center"/>
                </w:tcPr>
                <w:p>
                  <w:pPr>
                    <w:pStyle w:val="10"/>
                    <w:tabs>
                      <w:tab w:val="left" w:pos="3500"/>
                    </w:tabs>
                    <w:kinsoku w:val="0"/>
                    <w:overflowPunct w:val="0"/>
                    <w:spacing w:line="312" w:lineRule="exact"/>
                    <w:rPr>
                      <w:rFonts w:hint="eastAsia" w:asciiTheme="minorEastAsia" w:hAnsiTheme="minorEastAsia" w:eastAsiaTheme="minorEastAsia" w:cstheme="minorEastAsia"/>
                      <w:kern w:val="2"/>
                      <w:vertAlign w:val="baseline"/>
                      <w:lang w:val="en-US" w:eastAsia="zh-CN"/>
                    </w:rPr>
                  </w:pPr>
                  <w:r>
                    <w:rPr>
                      <w:rFonts w:hint="eastAsia" w:asciiTheme="minorEastAsia" w:hAnsiTheme="minorEastAsia" w:eastAsiaTheme="minorEastAsia" w:cstheme="minorEastAsia"/>
                      <w:kern w:val="2"/>
                      <w:vertAlign w:val="baseline"/>
                      <w:lang w:val="en-US" w:eastAsia="zh-CN"/>
                    </w:rPr>
                    <w:t>结晶釜残</w:t>
                  </w:r>
                </w:p>
              </w:tc>
              <w:tc>
                <w:tcPr>
                  <w:tcW w:w="1480" w:type="dxa"/>
                  <w:vAlign w:val="center"/>
                </w:tcPr>
                <w:p>
                  <w:pPr>
                    <w:pStyle w:val="10"/>
                    <w:tabs>
                      <w:tab w:val="left" w:pos="3500"/>
                    </w:tabs>
                    <w:kinsoku w:val="0"/>
                    <w:overflowPunct w:val="0"/>
                    <w:spacing w:line="312" w:lineRule="exact"/>
                    <w:rPr>
                      <w:rFonts w:hint="eastAsia" w:asciiTheme="minorEastAsia" w:hAnsiTheme="minorEastAsia" w:eastAsiaTheme="minorEastAsia" w:cstheme="minorEastAsia"/>
                      <w:kern w:val="2"/>
                      <w:vertAlign w:val="baseline"/>
                      <w:lang w:val="en-US" w:eastAsia="zh-CN"/>
                    </w:rPr>
                  </w:pPr>
                  <w:r>
                    <w:rPr>
                      <w:rFonts w:hint="eastAsia" w:asciiTheme="minorEastAsia" w:hAnsiTheme="minorEastAsia" w:eastAsiaTheme="minorEastAsia" w:cstheme="minorEastAsia"/>
                      <w:kern w:val="2"/>
                      <w:vertAlign w:val="baseline"/>
                      <w:lang w:val="en-US" w:eastAsia="zh-CN"/>
                    </w:rPr>
                    <w:t>900-402-06</w:t>
                  </w:r>
                </w:p>
              </w:tc>
              <w:tc>
                <w:tcPr>
                  <w:tcW w:w="1481" w:type="dxa"/>
                  <w:vAlign w:val="center"/>
                </w:tcPr>
                <w:p>
                  <w:pPr>
                    <w:pStyle w:val="10"/>
                    <w:tabs>
                      <w:tab w:val="left" w:pos="3500"/>
                    </w:tabs>
                    <w:kinsoku w:val="0"/>
                    <w:overflowPunct w:val="0"/>
                    <w:spacing w:line="312" w:lineRule="exact"/>
                    <w:rPr>
                      <w:rFonts w:hint="eastAsia" w:asciiTheme="minorEastAsia" w:hAnsiTheme="minorEastAsia" w:eastAsiaTheme="minorEastAsia" w:cstheme="minorEastAsia"/>
                      <w:kern w:val="2"/>
                      <w:vertAlign w:val="baseline"/>
                      <w:lang w:val="en-US" w:eastAsia="zh-CN"/>
                    </w:rPr>
                  </w:pPr>
                  <w:r>
                    <w:rPr>
                      <w:rFonts w:hint="eastAsia" w:asciiTheme="minorEastAsia" w:hAnsiTheme="minorEastAsia" w:eastAsiaTheme="minorEastAsia" w:cstheme="minorEastAsia"/>
                      <w:kern w:val="2"/>
                      <w:vertAlign w:val="baseline"/>
                      <w:lang w:val="en-US" w:eastAsia="zh-CN"/>
                    </w:rPr>
                    <w:t>100</w:t>
                  </w:r>
                </w:p>
              </w:tc>
              <w:tc>
                <w:tcPr>
                  <w:tcW w:w="1481" w:type="dxa"/>
                  <w:vAlign w:val="center"/>
                </w:tcPr>
                <w:p>
                  <w:pPr>
                    <w:pStyle w:val="10"/>
                    <w:tabs>
                      <w:tab w:val="left" w:pos="3500"/>
                    </w:tabs>
                    <w:kinsoku w:val="0"/>
                    <w:overflowPunct w:val="0"/>
                    <w:spacing w:line="312" w:lineRule="exact"/>
                    <w:rPr>
                      <w:rFonts w:hint="eastAsia" w:asciiTheme="minorEastAsia" w:hAnsiTheme="minorEastAsia" w:eastAsiaTheme="minorEastAsia" w:cstheme="minorEastAsia"/>
                      <w:kern w:val="2"/>
                      <w:vertAlign w:val="baseline"/>
                      <w:lang w:val="en-US" w:eastAsia="zh-CN"/>
                    </w:rPr>
                  </w:pPr>
                  <w:r>
                    <w:rPr>
                      <w:rFonts w:hint="eastAsia" w:asciiTheme="minorEastAsia" w:hAnsiTheme="minorEastAsia" w:eastAsiaTheme="minorEastAsia" w:cstheme="minorEastAsia"/>
                      <w:kern w:val="2"/>
                      <w:vertAlign w:val="baseline"/>
                      <w:lang w:val="en-US" w:eastAsia="zh-CN"/>
                    </w:rPr>
                    <w:t/>
                  </w:r>
                </w:p>
              </w:tc>
              <w:tc>
                <w:tcPr>
                  <w:tcW w:w="1481" w:type="dxa"/>
                  <w:vAlign w:val="center"/>
                </w:tcPr>
                <w:p>
                  <w:pPr>
                    <w:pStyle w:val="10"/>
                    <w:tabs>
                      <w:tab w:val="left" w:pos="3500"/>
                    </w:tabs>
                    <w:kinsoku w:val="0"/>
                    <w:overflowPunct w:val="0"/>
                    <w:spacing w:line="312" w:lineRule="exact"/>
                    <w:rPr>
                      <w:rFonts w:hint="eastAsia" w:asciiTheme="minorEastAsia" w:hAnsiTheme="minorEastAsia" w:eastAsiaTheme="minorEastAsia" w:cstheme="minorEastAsia"/>
                      <w:kern w:val="2"/>
                      <w:vertAlign w:val="baseline"/>
                      <w:lang w:val="en-US" w:eastAsia="zh-CN"/>
                    </w:rPr>
                  </w:pPr>
                  <w:r>
                    <w:rPr>
                      <w:rFonts w:hint="eastAsia" w:asciiTheme="minorEastAsia" w:hAnsiTheme="minorEastAsia" w:eastAsiaTheme="minorEastAsia" w:cstheme="minorEastAsia"/>
                      <w:kern w:val="2"/>
                      <w:vertAlign w:val="baseline"/>
                      <w:lang w:val="en-US" w:eastAsia="zh-CN"/>
                    </w:rPr>
                    <w:t>委托处置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480" w:type="dxa"/>
                  <w:tcBorders>
                    <w:left w:val="nil"/>
                  </w:tcBorders>
                  <w:vAlign w:val="center"/>
                </w:tcPr>
                <w:p>
                  <w:pPr>
                    <w:pStyle w:val="10"/>
                    <w:tabs>
                      <w:tab w:val="left" w:pos="3500"/>
                    </w:tabs>
                    <w:kinsoku w:val="0"/>
                    <w:overflowPunct w:val="0"/>
                    <w:spacing w:line="312" w:lineRule="exact"/>
                    <w:rPr>
                      <w:rFonts w:hint="eastAsia" w:asciiTheme="minorEastAsia" w:hAnsiTheme="minorEastAsia" w:eastAsiaTheme="minorEastAsia" w:cstheme="minorEastAsia"/>
                      <w:kern w:val="2"/>
                      <w:vertAlign w:val="baseline"/>
                      <w:lang w:val="en-US" w:eastAsia="zh-CN"/>
                    </w:rPr>
                  </w:pPr>
                  <w:r>
                    <w:rPr>
                      <w:rFonts w:hint="eastAsia" w:asciiTheme="minorEastAsia" w:hAnsiTheme="minorEastAsia" w:eastAsiaTheme="minorEastAsia" w:cstheme="minorEastAsia"/>
                      <w:kern w:val="2"/>
                      <w:vertAlign w:val="baseline"/>
                      <w:lang w:val="en-US" w:eastAsia="zh-CN"/>
                    </w:rPr>
                    <w:t>2</w:t>
                  </w:r>
                </w:p>
              </w:tc>
              <w:tc>
                <w:tcPr>
                  <w:tcW w:w="1480" w:type="dxa"/>
                  <w:vAlign w:val="center"/>
                </w:tcPr>
                <w:p>
                  <w:pPr>
                    <w:pStyle w:val="10"/>
                    <w:tabs>
                      <w:tab w:val="left" w:pos="3500"/>
                    </w:tabs>
                    <w:kinsoku w:val="0"/>
                    <w:overflowPunct w:val="0"/>
                    <w:spacing w:line="312" w:lineRule="exact"/>
                    <w:rPr>
                      <w:rFonts w:hint="eastAsia" w:asciiTheme="minorEastAsia" w:hAnsiTheme="minorEastAsia" w:eastAsiaTheme="minorEastAsia" w:cstheme="minorEastAsia"/>
                      <w:kern w:val="2"/>
                      <w:vertAlign w:val="baseline"/>
                      <w:lang w:val="en-US" w:eastAsia="zh-CN"/>
                    </w:rPr>
                  </w:pPr>
                  <w:r>
                    <w:rPr>
                      <w:rFonts w:hint="eastAsia" w:asciiTheme="minorEastAsia" w:hAnsiTheme="minorEastAsia" w:eastAsiaTheme="minorEastAsia" w:cstheme="minorEastAsia"/>
                      <w:kern w:val="2"/>
                      <w:vertAlign w:val="baseline"/>
                      <w:lang w:val="en-US" w:eastAsia="zh-CN"/>
                    </w:rPr>
                    <w:t>污泥</w:t>
                  </w:r>
                </w:p>
              </w:tc>
              <w:tc>
                <w:tcPr>
                  <w:tcW w:w="1480" w:type="dxa"/>
                  <w:vAlign w:val="center"/>
                </w:tcPr>
                <w:p>
                  <w:pPr>
                    <w:pStyle w:val="10"/>
                    <w:tabs>
                      <w:tab w:val="left" w:pos="3500"/>
                    </w:tabs>
                    <w:kinsoku w:val="0"/>
                    <w:overflowPunct w:val="0"/>
                    <w:spacing w:line="312" w:lineRule="exact"/>
                    <w:rPr>
                      <w:rFonts w:hint="eastAsia" w:asciiTheme="minorEastAsia" w:hAnsiTheme="minorEastAsia" w:eastAsiaTheme="minorEastAsia" w:cstheme="minorEastAsia"/>
                      <w:kern w:val="2"/>
                      <w:vertAlign w:val="baseline"/>
                      <w:lang w:val="en-US" w:eastAsia="zh-CN"/>
                    </w:rPr>
                  </w:pPr>
                  <w:r>
                    <w:rPr>
                      <w:rFonts w:hint="eastAsia" w:asciiTheme="minorEastAsia" w:hAnsiTheme="minorEastAsia" w:eastAsiaTheme="minorEastAsia" w:cstheme="minorEastAsia"/>
                      <w:kern w:val="2"/>
                      <w:vertAlign w:val="baseline"/>
                      <w:lang w:val="en-US" w:eastAsia="zh-CN"/>
                    </w:rPr>
                    <w:t>261-084-45</w:t>
                  </w:r>
                </w:p>
              </w:tc>
              <w:tc>
                <w:tcPr>
                  <w:tcW w:w="1481" w:type="dxa"/>
                  <w:vAlign w:val="center"/>
                </w:tcPr>
                <w:p>
                  <w:pPr>
                    <w:pStyle w:val="10"/>
                    <w:tabs>
                      <w:tab w:val="left" w:pos="3500"/>
                    </w:tabs>
                    <w:kinsoku w:val="0"/>
                    <w:overflowPunct w:val="0"/>
                    <w:spacing w:line="312" w:lineRule="exact"/>
                    <w:rPr>
                      <w:rFonts w:hint="eastAsia" w:asciiTheme="minorEastAsia" w:hAnsiTheme="minorEastAsia" w:eastAsiaTheme="minorEastAsia" w:cstheme="minorEastAsia"/>
                      <w:kern w:val="2"/>
                      <w:vertAlign w:val="baseline"/>
                      <w:lang w:val="en-US" w:eastAsia="zh-CN"/>
                    </w:rPr>
                  </w:pPr>
                  <w:r>
                    <w:rPr>
                      <w:rFonts w:hint="eastAsia" w:asciiTheme="minorEastAsia" w:hAnsiTheme="minorEastAsia" w:eastAsiaTheme="minorEastAsia" w:cstheme="minorEastAsia"/>
                      <w:kern w:val="2"/>
                      <w:vertAlign w:val="baseline"/>
                      <w:lang w:val="en-US" w:eastAsia="zh-CN"/>
                    </w:rPr>
                    <w:t>500</w:t>
                  </w:r>
                </w:p>
              </w:tc>
              <w:tc>
                <w:tcPr>
                  <w:tcW w:w="1481" w:type="dxa"/>
                  <w:vAlign w:val="center"/>
                </w:tcPr>
                <w:p>
                  <w:pPr>
                    <w:pStyle w:val="10"/>
                    <w:tabs>
                      <w:tab w:val="left" w:pos="3500"/>
                    </w:tabs>
                    <w:kinsoku w:val="0"/>
                    <w:overflowPunct w:val="0"/>
                    <w:spacing w:line="312" w:lineRule="exact"/>
                    <w:rPr>
                      <w:rFonts w:hint="eastAsia" w:asciiTheme="minorEastAsia" w:hAnsiTheme="minorEastAsia" w:eastAsiaTheme="minorEastAsia" w:cstheme="minorEastAsia"/>
                      <w:kern w:val="2"/>
                      <w:vertAlign w:val="baseline"/>
                      <w:lang w:val="en-US" w:eastAsia="zh-CN"/>
                    </w:rPr>
                  </w:pPr>
                  <w:r>
                    <w:rPr>
                      <w:rFonts w:hint="eastAsia" w:asciiTheme="minorEastAsia" w:hAnsiTheme="minorEastAsia" w:eastAsiaTheme="minorEastAsia" w:cstheme="minorEastAsia"/>
                      <w:kern w:val="2"/>
                      <w:vertAlign w:val="baseline"/>
                      <w:lang w:val="en-US" w:eastAsia="zh-CN"/>
                    </w:rPr>
                    <w:t/>
                  </w:r>
                </w:p>
              </w:tc>
              <w:tc>
                <w:tcPr>
                  <w:tcW w:w="1481" w:type="dxa"/>
                  <w:vAlign w:val="center"/>
                </w:tcPr>
                <w:p>
                  <w:pPr>
                    <w:pStyle w:val="10"/>
                    <w:tabs>
                      <w:tab w:val="left" w:pos="3500"/>
                    </w:tabs>
                    <w:kinsoku w:val="0"/>
                    <w:overflowPunct w:val="0"/>
                    <w:spacing w:line="312" w:lineRule="exact"/>
                    <w:rPr>
                      <w:rFonts w:hint="eastAsia" w:asciiTheme="minorEastAsia" w:hAnsiTheme="minorEastAsia" w:eastAsiaTheme="minorEastAsia" w:cstheme="minorEastAsia"/>
                      <w:kern w:val="2"/>
                      <w:vertAlign w:val="baseline"/>
                      <w:lang w:val="en-US" w:eastAsia="zh-CN"/>
                    </w:rPr>
                  </w:pPr>
                  <w:r>
                    <w:rPr>
                      <w:rFonts w:hint="eastAsia" w:asciiTheme="minorEastAsia" w:hAnsiTheme="minorEastAsia" w:eastAsiaTheme="minorEastAsia" w:cstheme="minorEastAsia"/>
                      <w:kern w:val="2"/>
                      <w:vertAlign w:val="baseline"/>
                      <w:lang w:val="en-US" w:eastAsia="zh-CN"/>
                    </w:rPr>
                    <w:t>委托处置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480" w:type="dxa"/>
                  <w:tcBorders>
                    <w:left w:val="nil"/>
                  </w:tcBorders>
                  <w:vAlign w:val="center"/>
                </w:tcPr>
                <w:p>
                  <w:pPr>
                    <w:pStyle w:val="10"/>
                    <w:tabs>
                      <w:tab w:val="left" w:pos="3500"/>
                    </w:tabs>
                    <w:kinsoku w:val="0"/>
                    <w:overflowPunct w:val="0"/>
                    <w:spacing w:line="312" w:lineRule="exact"/>
                    <w:rPr>
                      <w:rFonts w:hint="eastAsia" w:asciiTheme="minorEastAsia" w:hAnsiTheme="minorEastAsia" w:eastAsiaTheme="minorEastAsia" w:cstheme="minorEastAsia"/>
                      <w:kern w:val="2"/>
                      <w:vertAlign w:val="baseline"/>
                      <w:lang w:val="en-US" w:eastAsia="zh-CN"/>
                    </w:rPr>
                  </w:pPr>
                  <w:r>
                    <w:rPr>
                      <w:rFonts w:hint="eastAsia" w:asciiTheme="minorEastAsia" w:hAnsiTheme="minorEastAsia" w:eastAsiaTheme="minorEastAsia" w:cstheme="minorEastAsia"/>
                      <w:kern w:val="2"/>
                      <w:vertAlign w:val="baseline"/>
                      <w:lang w:val="en-US" w:eastAsia="zh-CN"/>
                    </w:rPr>
                    <w:t>3</w:t>
                  </w:r>
                </w:p>
              </w:tc>
              <w:tc>
                <w:tcPr>
                  <w:tcW w:w="1480" w:type="dxa"/>
                  <w:vAlign w:val="center"/>
                </w:tcPr>
                <w:p>
                  <w:pPr>
                    <w:pStyle w:val="10"/>
                    <w:tabs>
                      <w:tab w:val="left" w:pos="3500"/>
                    </w:tabs>
                    <w:kinsoku w:val="0"/>
                    <w:overflowPunct w:val="0"/>
                    <w:spacing w:line="312" w:lineRule="exact"/>
                    <w:rPr>
                      <w:rFonts w:hint="eastAsia" w:asciiTheme="minorEastAsia" w:hAnsiTheme="minorEastAsia" w:eastAsiaTheme="minorEastAsia" w:cstheme="minorEastAsia"/>
                      <w:kern w:val="2"/>
                      <w:vertAlign w:val="baseline"/>
                      <w:lang w:val="en-US" w:eastAsia="zh-CN"/>
                    </w:rPr>
                  </w:pPr>
                  <w:r>
                    <w:rPr>
                      <w:rFonts w:hint="eastAsia" w:asciiTheme="minorEastAsia" w:hAnsiTheme="minorEastAsia" w:eastAsiaTheme="minorEastAsia" w:cstheme="minorEastAsia"/>
                      <w:kern w:val="2"/>
                      <w:vertAlign w:val="baseline"/>
                      <w:lang w:val="en-US" w:eastAsia="zh-CN"/>
                    </w:rPr>
                    <w:t>废矿物油</w:t>
                  </w:r>
                </w:p>
              </w:tc>
              <w:tc>
                <w:tcPr>
                  <w:tcW w:w="1480" w:type="dxa"/>
                  <w:vAlign w:val="center"/>
                </w:tcPr>
                <w:p>
                  <w:pPr>
                    <w:pStyle w:val="10"/>
                    <w:tabs>
                      <w:tab w:val="left" w:pos="3500"/>
                    </w:tabs>
                    <w:kinsoku w:val="0"/>
                    <w:overflowPunct w:val="0"/>
                    <w:spacing w:line="312" w:lineRule="exact"/>
                    <w:rPr>
                      <w:rFonts w:hint="eastAsia" w:asciiTheme="minorEastAsia" w:hAnsiTheme="minorEastAsia" w:eastAsiaTheme="minorEastAsia" w:cstheme="minorEastAsia"/>
                      <w:kern w:val="2"/>
                      <w:vertAlign w:val="baseline"/>
                      <w:lang w:val="en-US" w:eastAsia="zh-CN"/>
                    </w:rPr>
                  </w:pPr>
                  <w:r>
                    <w:rPr>
                      <w:rFonts w:hint="eastAsia" w:asciiTheme="minorEastAsia" w:hAnsiTheme="minorEastAsia" w:eastAsiaTheme="minorEastAsia" w:cstheme="minorEastAsia"/>
                      <w:kern w:val="2"/>
                      <w:vertAlign w:val="baseline"/>
                      <w:lang w:val="en-US" w:eastAsia="zh-CN"/>
                    </w:rPr>
                    <w:t>900-217-08</w:t>
                  </w:r>
                </w:p>
              </w:tc>
              <w:tc>
                <w:tcPr>
                  <w:tcW w:w="1481" w:type="dxa"/>
                  <w:vAlign w:val="center"/>
                </w:tcPr>
                <w:p>
                  <w:pPr>
                    <w:pStyle w:val="10"/>
                    <w:tabs>
                      <w:tab w:val="left" w:pos="3500"/>
                    </w:tabs>
                    <w:kinsoku w:val="0"/>
                    <w:overflowPunct w:val="0"/>
                    <w:spacing w:line="312" w:lineRule="exact"/>
                    <w:rPr>
                      <w:rFonts w:hint="eastAsia" w:asciiTheme="minorEastAsia" w:hAnsiTheme="minorEastAsia" w:eastAsiaTheme="minorEastAsia" w:cstheme="minorEastAsia"/>
                      <w:kern w:val="2"/>
                      <w:vertAlign w:val="baseline"/>
                      <w:lang w:val="en-US" w:eastAsia="zh-CN"/>
                    </w:rPr>
                  </w:pPr>
                  <w:r>
                    <w:rPr>
                      <w:rFonts w:hint="eastAsia" w:asciiTheme="minorEastAsia" w:hAnsiTheme="minorEastAsia" w:eastAsiaTheme="minorEastAsia" w:cstheme="minorEastAsia"/>
                      <w:kern w:val="2"/>
                      <w:vertAlign w:val="baseline"/>
                      <w:lang w:val="en-US" w:eastAsia="zh-CN"/>
                    </w:rPr>
                    <w:t>30</w:t>
                  </w:r>
                </w:p>
              </w:tc>
              <w:tc>
                <w:tcPr>
                  <w:tcW w:w="1481" w:type="dxa"/>
                  <w:vAlign w:val="center"/>
                </w:tcPr>
                <w:p>
                  <w:pPr>
                    <w:pStyle w:val="10"/>
                    <w:tabs>
                      <w:tab w:val="left" w:pos="3500"/>
                    </w:tabs>
                    <w:kinsoku w:val="0"/>
                    <w:overflowPunct w:val="0"/>
                    <w:spacing w:line="312" w:lineRule="exact"/>
                    <w:rPr>
                      <w:rFonts w:hint="eastAsia" w:asciiTheme="minorEastAsia" w:hAnsiTheme="minorEastAsia" w:eastAsiaTheme="minorEastAsia" w:cstheme="minorEastAsia"/>
                      <w:kern w:val="2"/>
                      <w:vertAlign w:val="baseline"/>
                      <w:lang w:val="en-US" w:eastAsia="zh-CN"/>
                    </w:rPr>
                  </w:pPr>
                  <w:r>
                    <w:rPr>
                      <w:rFonts w:hint="eastAsia" w:asciiTheme="minorEastAsia" w:hAnsiTheme="minorEastAsia" w:eastAsiaTheme="minorEastAsia" w:cstheme="minorEastAsia"/>
                      <w:kern w:val="2"/>
                      <w:vertAlign w:val="baseline"/>
                      <w:lang w:val="en-US" w:eastAsia="zh-CN"/>
                    </w:rPr>
                    <w:t/>
                  </w:r>
                </w:p>
              </w:tc>
              <w:tc>
                <w:tcPr>
                  <w:tcW w:w="1481" w:type="dxa"/>
                  <w:vAlign w:val="center"/>
                </w:tcPr>
                <w:p>
                  <w:pPr>
                    <w:pStyle w:val="10"/>
                    <w:tabs>
                      <w:tab w:val="left" w:pos="3500"/>
                    </w:tabs>
                    <w:kinsoku w:val="0"/>
                    <w:overflowPunct w:val="0"/>
                    <w:spacing w:line="312" w:lineRule="exact"/>
                    <w:rPr>
                      <w:rFonts w:hint="eastAsia" w:asciiTheme="minorEastAsia" w:hAnsiTheme="minorEastAsia" w:eastAsiaTheme="minorEastAsia" w:cstheme="minorEastAsia"/>
                      <w:kern w:val="2"/>
                      <w:vertAlign w:val="baseline"/>
                      <w:lang w:val="en-US" w:eastAsia="zh-CN"/>
                    </w:rPr>
                  </w:pPr>
                  <w:r>
                    <w:rPr>
                      <w:rFonts w:hint="eastAsia" w:asciiTheme="minorEastAsia" w:hAnsiTheme="minorEastAsia" w:eastAsiaTheme="minorEastAsia" w:cstheme="minorEastAsia"/>
                      <w:kern w:val="2"/>
                      <w:vertAlign w:val="baseline"/>
                      <w:lang w:val="en-US" w:eastAsia="zh-CN"/>
                    </w:rPr>
                    <w:t>委托利用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480" w:type="dxa"/>
                  <w:tcBorders>
                    <w:left w:val="nil"/>
                  </w:tcBorders>
                  <w:vAlign w:val="center"/>
                </w:tcPr>
                <w:p>
                  <w:pPr>
                    <w:pStyle w:val="10"/>
                    <w:tabs>
                      <w:tab w:val="left" w:pos="3500"/>
                    </w:tabs>
                    <w:kinsoku w:val="0"/>
                    <w:overflowPunct w:val="0"/>
                    <w:spacing w:line="312" w:lineRule="exact"/>
                    <w:rPr>
                      <w:rFonts w:hint="eastAsia" w:asciiTheme="minorEastAsia" w:hAnsiTheme="minorEastAsia" w:eastAsiaTheme="minorEastAsia" w:cstheme="minorEastAsia"/>
                      <w:kern w:val="2"/>
                      <w:vertAlign w:val="baseline"/>
                      <w:lang w:val="en-US" w:eastAsia="zh-CN"/>
                    </w:rPr>
                  </w:pPr>
                  <w:r>
                    <w:rPr>
                      <w:rFonts w:hint="eastAsia" w:asciiTheme="minorEastAsia" w:hAnsiTheme="minorEastAsia" w:eastAsiaTheme="minorEastAsia" w:cstheme="minorEastAsia"/>
                      <w:kern w:val="2"/>
                      <w:vertAlign w:val="baseline"/>
                      <w:lang w:val="en-US" w:eastAsia="zh-CN"/>
                    </w:rPr>
                    <w:t>4</w:t>
                  </w:r>
                </w:p>
              </w:tc>
              <w:tc>
                <w:tcPr>
                  <w:tcW w:w="1480" w:type="dxa"/>
                  <w:vAlign w:val="center"/>
                </w:tcPr>
                <w:p>
                  <w:pPr>
                    <w:pStyle w:val="10"/>
                    <w:tabs>
                      <w:tab w:val="left" w:pos="3500"/>
                    </w:tabs>
                    <w:kinsoku w:val="0"/>
                    <w:overflowPunct w:val="0"/>
                    <w:spacing w:line="312" w:lineRule="exact"/>
                    <w:rPr>
                      <w:rFonts w:hint="eastAsia" w:asciiTheme="minorEastAsia" w:hAnsiTheme="minorEastAsia" w:eastAsiaTheme="minorEastAsia" w:cstheme="minorEastAsia"/>
                      <w:kern w:val="2"/>
                      <w:vertAlign w:val="baseline"/>
                      <w:lang w:val="en-US" w:eastAsia="zh-CN"/>
                    </w:rPr>
                  </w:pPr>
                  <w:r>
                    <w:rPr>
                      <w:rFonts w:hint="eastAsia" w:asciiTheme="minorEastAsia" w:hAnsiTheme="minorEastAsia" w:eastAsiaTheme="minorEastAsia" w:cstheme="minorEastAsia"/>
                      <w:kern w:val="2"/>
                      <w:vertAlign w:val="baseline"/>
                      <w:lang w:val="en-US" w:eastAsia="zh-CN"/>
                    </w:rPr>
                    <w:t>废镍催化剂</w:t>
                  </w:r>
                </w:p>
              </w:tc>
              <w:tc>
                <w:tcPr>
                  <w:tcW w:w="1480" w:type="dxa"/>
                  <w:vAlign w:val="center"/>
                </w:tcPr>
                <w:p>
                  <w:pPr>
                    <w:pStyle w:val="10"/>
                    <w:tabs>
                      <w:tab w:val="left" w:pos="3500"/>
                    </w:tabs>
                    <w:kinsoku w:val="0"/>
                    <w:overflowPunct w:val="0"/>
                    <w:spacing w:line="312" w:lineRule="exact"/>
                    <w:rPr>
                      <w:rFonts w:hint="eastAsia" w:asciiTheme="minorEastAsia" w:hAnsiTheme="minorEastAsia" w:eastAsiaTheme="minorEastAsia" w:cstheme="minorEastAsia"/>
                      <w:kern w:val="2"/>
                      <w:vertAlign w:val="baseline"/>
                      <w:lang w:val="en-US" w:eastAsia="zh-CN"/>
                    </w:rPr>
                  </w:pPr>
                  <w:r>
                    <w:rPr>
                      <w:rFonts w:hint="eastAsia" w:asciiTheme="minorEastAsia" w:hAnsiTheme="minorEastAsia" w:eastAsiaTheme="minorEastAsia" w:cstheme="minorEastAsia"/>
                      <w:kern w:val="2"/>
                      <w:vertAlign w:val="baseline"/>
                      <w:lang w:val="en-US" w:eastAsia="zh-CN"/>
                    </w:rPr>
                    <w:t>900-037-46</w:t>
                  </w:r>
                </w:p>
              </w:tc>
              <w:tc>
                <w:tcPr>
                  <w:tcW w:w="1481" w:type="dxa"/>
                  <w:vAlign w:val="center"/>
                </w:tcPr>
                <w:p>
                  <w:pPr>
                    <w:pStyle w:val="10"/>
                    <w:tabs>
                      <w:tab w:val="left" w:pos="3500"/>
                    </w:tabs>
                    <w:kinsoku w:val="0"/>
                    <w:overflowPunct w:val="0"/>
                    <w:spacing w:line="312" w:lineRule="exact"/>
                    <w:rPr>
                      <w:rFonts w:hint="eastAsia" w:asciiTheme="minorEastAsia" w:hAnsiTheme="minorEastAsia" w:eastAsiaTheme="minorEastAsia" w:cstheme="minorEastAsia"/>
                      <w:kern w:val="2"/>
                      <w:vertAlign w:val="baseline"/>
                      <w:lang w:val="en-US" w:eastAsia="zh-CN"/>
                    </w:rPr>
                  </w:pPr>
                  <w:r>
                    <w:rPr>
                      <w:rFonts w:hint="eastAsia" w:asciiTheme="minorEastAsia" w:hAnsiTheme="minorEastAsia" w:eastAsiaTheme="minorEastAsia" w:cstheme="minorEastAsia"/>
                      <w:kern w:val="2"/>
                      <w:vertAlign w:val="baseline"/>
                      <w:lang w:val="en-US" w:eastAsia="zh-CN"/>
                    </w:rPr>
                    <w:t>200</w:t>
                  </w:r>
                </w:p>
              </w:tc>
              <w:tc>
                <w:tcPr>
                  <w:tcW w:w="1481" w:type="dxa"/>
                  <w:vAlign w:val="center"/>
                </w:tcPr>
                <w:p>
                  <w:pPr>
                    <w:pStyle w:val="10"/>
                    <w:tabs>
                      <w:tab w:val="left" w:pos="3500"/>
                    </w:tabs>
                    <w:kinsoku w:val="0"/>
                    <w:overflowPunct w:val="0"/>
                    <w:spacing w:line="312" w:lineRule="exact"/>
                    <w:rPr>
                      <w:rFonts w:hint="eastAsia" w:asciiTheme="minorEastAsia" w:hAnsiTheme="minorEastAsia" w:eastAsiaTheme="minorEastAsia" w:cstheme="minorEastAsia"/>
                      <w:kern w:val="2"/>
                      <w:vertAlign w:val="baseline"/>
                      <w:lang w:val="en-US" w:eastAsia="zh-CN"/>
                    </w:rPr>
                  </w:pPr>
                  <w:r>
                    <w:rPr>
                      <w:rFonts w:hint="eastAsia" w:asciiTheme="minorEastAsia" w:hAnsiTheme="minorEastAsia" w:eastAsiaTheme="minorEastAsia" w:cstheme="minorEastAsia"/>
                      <w:kern w:val="2"/>
                      <w:vertAlign w:val="baseline"/>
                      <w:lang w:val="en-US" w:eastAsia="zh-CN"/>
                    </w:rPr>
                    <w:t/>
                  </w:r>
                </w:p>
              </w:tc>
              <w:tc>
                <w:tcPr>
                  <w:tcW w:w="1481" w:type="dxa"/>
                  <w:vAlign w:val="center"/>
                </w:tcPr>
                <w:p>
                  <w:pPr>
                    <w:pStyle w:val="10"/>
                    <w:tabs>
                      <w:tab w:val="left" w:pos="3500"/>
                    </w:tabs>
                    <w:kinsoku w:val="0"/>
                    <w:overflowPunct w:val="0"/>
                    <w:spacing w:line="312" w:lineRule="exact"/>
                    <w:rPr>
                      <w:rFonts w:hint="eastAsia" w:asciiTheme="minorEastAsia" w:hAnsiTheme="minorEastAsia" w:eastAsiaTheme="minorEastAsia" w:cstheme="minorEastAsia"/>
                      <w:kern w:val="2"/>
                      <w:vertAlign w:val="baseline"/>
                      <w:lang w:val="en-US" w:eastAsia="zh-CN"/>
                    </w:rPr>
                  </w:pPr>
                  <w:r>
                    <w:rPr>
                      <w:rFonts w:hint="eastAsia" w:asciiTheme="minorEastAsia" w:hAnsiTheme="minorEastAsia" w:eastAsiaTheme="minorEastAsia" w:cstheme="minorEastAsia"/>
                      <w:kern w:val="2"/>
                      <w:vertAlign w:val="baseline"/>
                      <w:lang w:val="en-US" w:eastAsia="zh-CN"/>
                    </w:rPr>
                    <w:t>委托利用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480" w:type="dxa"/>
                  <w:tcBorders>
                    <w:left w:val="nil"/>
                  </w:tcBorders>
                  <w:vAlign w:val="center"/>
                </w:tcPr>
                <w:p>
                  <w:pPr>
                    <w:pStyle w:val="10"/>
                    <w:tabs>
                      <w:tab w:val="left" w:pos="3500"/>
                    </w:tabs>
                    <w:kinsoku w:val="0"/>
                    <w:overflowPunct w:val="0"/>
                    <w:spacing w:line="312" w:lineRule="exact"/>
                    <w:rPr>
                      <w:rFonts w:hint="eastAsia" w:asciiTheme="minorEastAsia" w:hAnsiTheme="minorEastAsia" w:eastAsiaTheme="minorEastAsia" w:cstheme="minorEastAsia"/>
                      <w:kern w:val="2"/>
                      <w:vertAlign w:val="baseline"/>
                      <w:lang w:val="en-US" w:eastAsia="zh-CN"/>
                    </w:rPr>
                  </w:pPr>
                  <w:r>
                    <w:rPr>
                      <w:rFonts w:hint="eastAsia" w:asciiTheme="minorEastAsia" w:hAnsiTheme="minorEastAsia" w:eastAsiaTheme="minorEastAsia" w:cstheme="minorEastAsia"/>
                      <w:kern w:val="2"/>
                      <w:vertAlign w:val="baseline"/>
                      <w:lang w:val="en-US" w:eastAsia="zh-CN"/>
                    </w:rPr>
                    <w:t>5</w:t>
                  </w:r>
                </w:p>
              </w:tc>
              <w:tc>
                <w:tcPr>
                  <w:tcW w:w="1480" w:type="dxa"/>
                  <w:vAlign w:val="center"/>
                </w:tcPr>
                <w:p>
                  <w:pPr>
                    <w:pStyle w:val="10"/>
                    <w:tabs>
                      <w:tab w:val="left" w:pos="3500"/>
                    </w:tabs>
                    <w:kinsoku w:val="0"/>
                    <w:overflowPunct w:val="0"/>
                    <w:spacing w:line="312" w:lineRule="exact"/>
                    <w:rPr>
                      <w:rFonts w:hint="eastAsia" w:asciiTheme="minorEastAsia" w:hAnsiTheme="minorEastAsia" w:eastAsiaTheme="minorEastAsia" w:cstheme="minorEastAsia"/>
                      <w:kern w:val="2"/>
                      <w:vertAlign w:val="baseline"/>
                      <w:lang w:val="en-US" w:eastAsia="zh-CN"/>
                    </w:rPr>
                  </w:pPr>
                  <w:r>
                    <w:rPr>
                      <w:rFonts w:hint="eastAsia" w:asciiTheme="minorEastAsia" w:hAnsiTheme="minorEastAsia" w:eastAsiaTheme="minorEastAsia" w:cstheme="minorEastAsia"/>
                      <w:kern w:val="2"/>
                      <w:vertAlign w:val="baseline"/>
                      <w:lang w:val="en-US" w:eastAsia="zh-CN"/>
                    </w:rPr>
                    <w:t>废水处理残渣</w:t>
                  </w:r>
                </w:p>
              </w:tc>
              <w:tc>
                <w:tcPr>
                  <w:tcW w:w="1480" w:type="dxa"/>
                  <w:vAlign w:val="center"/>
                </w:tcPr>
                <w:p>
                  <w:pPr>
                    <w:pStyle w:val="10"/>
                    <w:tabs>
                      <w:tab w:val="left" w:pos="3500"/>
                    </w:tabs>
                    <w:kinsoku w:val="0"/>
                    <w:overflowPunct w:val="0"/>
                    <w:spacing w:line="312" w:lineRule="exact"/>
                    <w:rPr>
                      <w:rFonts w:hint="eastAsia" w:asciiTheme="minorEastAsia" w:hAnsiTheme="minorEastAsia" w:eastAsiaTheme="minorEastAsia" w:cstheme="minorEastAsia"/>
                      <w:kern w:val="2"/>
                      <w:vertAlign w:val="baseline"/>
                      <w:lang w:val="en-US" w:eastAsia="zh-CN"/>
                    </w:rPr>
                  </w:pPr>
                  <w:r>
                    <w:rPr>
                      <w:rFonts w:hint="eastAsia" w:asciiTheme="minorEastAsia" w:hAnsiTheme="minorEastAsia" w:eastAsiaTheme="minorEastAsia" w:cstheme="minorEastAsia"/>
                      <w:kern w:val="2"/>
                      <w:vertAlign w:val="baseline"/>
                      <w:lang w:val="en-US" w:eastAsia="zh-CN"/>
                    </w:rPr>
                    <w:t>772-006-49</w:t>
                  </w:r>
                </w:p>
              </w:tc>
              <w:tc>
                <w:tcPr>
                  <w:tcW w:w="1481" w:type="dxa"/>
                  <w:vAlign w:val="center"/>
                </w:tcPr>
                <w:p>
                  <w:pPr>
                    <w:pStyle w:val="10"/>
                    <w:tabs>
                      <w:tab w:val="left" w:pos="3500"/>
                    </w:tabs>
                    <w:kinsoku w:val="0"/>
                    <w:overflowPunct w:val="0"/>
                    <w:spacing w:line="312" w:lineRule="exact"/>
                    <w:rPr>
                      <w:rFonts w:hint="eastAsia" w:asciiTheme="minorEastAsia" w:hAnsiTheme="minorEastAsia" w:eastAsiaTheme="minorEastAsia" w:cstheme="minorEastAsia"/>
                      <w:kern w:val="2"/>
                      <w:vertAlign w:val="baseline"/>
                      <w:lang w:val="en-US" w:eastAsia="zh-CN"/>
                    </w:rPr>
                  </w:pPr>
                  <w:r>
                    <w:rPr>
                      <w:rFonts w:hint="eastAsia" w:asciiTheme="minorEastAsia" w:hAnsiTheme="minorEastAsia" w:eastAsiaTheme="minorEastAsia" w:cstheme="minorEastAsia"/>
                      <w:kern w:val="2"/>
                      <w:vertAlign w:val="baseline"/>
                      <w:lang w:val="en-US" w:eastAsia="zh-CN"/>
                    </w:rPr>
                    <w:t>2000</w:t>
                  </w:r>
                </w:p>
              </w:tc>
              <w:tc>
                <w:tcPr>
                  <w:tcW w:w="1481" w:type="dxa"/>
                  <w:vAlign w:val="center"/>
                </w:tcPr>
                <w:p>
                  <w:pPr>
                    <w:pStyle w:val="10"/>
                    <w:tabs>
                      <w:tab w:val="left" w:pos="3500"/>
                    </w:tabs>
                    <w:kinsoku w:val="0"/>
                    <w:overflowPunct w:val="0"/>
                    <w:spacing w:line="312" w:lineRule="exact"/>
                    <w:rPr>
                      <w:rFonts w:hint="eastAsia" w:asciiTheme="minorEastAsia" w:hAnsiTheme="minorEastAsia" w:eastAsiaTheme="minorEastAsia" w:cstheme="minorEastAsia"/>
                      <w:kern w:val="2"/>
                      <w:vertAlign w:val="baseline"/>
                      <w:lang w:val="en-US" w:eastAsia="zh-CN"/>
                    </w:rPr>
                  </w:pPr>
                  <w:r>
                    <w:rPr>
                      <w:rFonts w:hint="eastAsia" w:asciiTheme="minorEastAsia" w:hAnsiTheme="minorEastAsia" w:eastAsiaTheme="minorEastAsia" w:cstheme="minorEastAsia"/>
                      <w:kern w:val="2"/>
                      <w:vertAlign w:val="baseline"/>
                      <w:lang w:val="en-US" w:eastAsia="zh-CN"/>
                    </w:rPr>
                    <w:t/>
                  </w:r>
                </w:p>
              </w:tc>
              <w:tc>
                <w:tcPr>
                  <w:tcW w:w="1481" w:type="dxa"/>
                  <w:vAlign w:val="center"/>
                </w:tcPr>
                <w:p>
                  <w:pPr>
                    <w:pStyle w:val="10"/>
                    <w:tabs>
                      <w:tab w:val="left" w:pos="3500"/>
                    </w:tabs>
                    <w:kinsoku w:val="0"/>
                    <w:overflowPunct w:val="0"/>
                    <w:spacing w:line="312" w:lineRule="exact"/>
                    <w:rPr>
                      <w:rFonts w:hint="eastAsia" w:asciiTheme="minorEastAsia" w:hAnsiTheme="minorEastAsia" w:eastAsiaTheme="minorEastAsia" w:cstheme="minorEastAsia"/>
                      <w:kern w:val="2"/>
                      <w:vertAlign w:val="baseline"/>
                      <w:lang w:val="en-US" w:eastAsia="zh-CN"/>
                    </w:rPr>
                  </w:pPr>
                  <w:r>
                    <w:rPr>
                      <w:rFonts w:hint="eastAsia" w:asciiTheme="minorEastAsia" w:hAnsiTheme="minorEastAsia" w:eastAsiaTheme="minorEastAsia" w:cstheme="minorEastAsia"/>
                      <w:kern w:val="2"/>
                      <w:vertAlign w:val="baseline"/>
                      <w:lang w:val="en-US" w:eastAsia="zh-CN"/>
                    </w:rPr>
                    <w:t>委托处置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480" w:type="dxa"/>
                  <w:tcBorders>
                    <w:left w:val="nil"/>
                  </w:tcBorders>
                  <w:vAlign w:val="center"/>
                </w:tcPr>
                <w:p>
                  <w:pPr>
                    <w:pStyle w:val="10"/>
                    <w:tabs>
                      <w:tab w:val="left" w:pos="3500"/>
                    </w:tabs>
                    <w:kinsoku w:val="0"/>
                    <w:overflowPunct w:val="0"/>
                    <w:spacing w:line="312" w:lineRule="exact"/>
                    <w:rPr>
                      <w:rFonts w:hint="eastAsia" w:asciiTheme="minorEastAsia" w:hAnsiTheme="minorEastAsia" w:eastAsiaTheme="minorEastAsia" w:cstheme="minorEastAsia"/>
                      <w:kern w:val="2"/>
                      <w:vertAlign w:val="baseline"/>
                      <w:lang w:val="en-US" w:eastAsia="zh-CN"/>
                    </w:rPr>
                  </w:pPr>
                  <w:r>
                    <w:rPr>
                      <w:rFonts w:hint="eastAsia" w:asciiTheme="minorEastAsia" w:hAnsiTheme="minorEastAsia" w:eastAsiaTheme="minorEastAsia" w:cstheme="minorEastAsia"/>
                      <w:kern w:val="2"/>
                      <w:vertAlign w:val="baseline"/>
                      <w:lang w:val="en-US" w:eastAsia="zh-CN"/>
                    </w:rPr>
                    <w:t>6</w:t>
                  </w:r>
                </w:p>
              </w:tc>
              <w:tc>
                <w:tcPr>
                  <w:tcW w:w="1480" w:type="dxa"/>
                  <w:vAlign w:val="center"/>
                </w:tcPr>
                <w:p>
                  <w:pPr>
                    <w:pStyle w:val="10"/>
                    <w:tabs>
                      <w:tab w:val="left" w:pos="3500"/>
                    </w:tabs>
                    <w:kinsoku w:val="0"/>
                    <w:overflowPunct w:val="0"/>
                    <w:spacing w:line="312" w:lineRule="exact"/>
                    <w:rPr>
                      <w:rFonts w:hint="eastAsia" w:asciiTheme="minorEastAsia" w:hAnsiTheme="minorEastAsia" w:eastAsiaTheme="minorEastAsia" w:cstheme="minorEastAsia"/>
                      <w:kern w:val="2"/>
                      <w:vertAlign w:val="baseline"/>
                      <w:lang w:val="en-US" w:eastAsia="zh-CN"/>
                    </w:rPr>
                  </w:pPr>
                  <w:r>
                    <w:rPr>
                      <w:rFonts w:hint="eastAsia" w:asciiTheme="minorEastAsia" w:hAnsiTheme="minorEastAsia" w:eastAsiaTheme="minorEastAsia" w:cstheme="minorEastAsia"/>
                      <w:kern w:val="2"/>
                      <w:vertAlign w:val="baseline"/>
                      <w:lang w:val="en-US" w:eastAsia="zh-CN"/>
                    </w:rPr>
                    <w:t>废活性炭/抽滤废渣</w:t>
                  </w:r>
                </w:p>
              </w:tc>
              <w:tc>
                <w:tcPr>
                  <w:tcW w:w="1480" w:type="dxa"/>
                  <w:vAlign w:val="center"/>
                </w:tcPr>
                <w:p>
                  <w:pPr>
                    <w:pStyle w:val="10"/>
                    <w:tabs>
                      <w:tab w:val="left" w:pos="3500"/>
                    </w:tabs>
                    <w:kinsoku w:val="0"/>
                    <w:overflowPunct w:val="0"/>
                    <w:spacing w:line="312" w:lineRule="exact"/>
                    <w:rPr>
                      <w:rFonts w:hint="eastAsia" w:asciiTheme="minorEastAsia" w:hAnsiTheme="minorEastAsia" w:eastAsiaTheme="minorEastAsia" w:cstheme="minorEastAsia"/>
                      <w:kern w:val="2"/>
                      <w:vertAlign w:val="baseline"/>
                      <w:lang w:val="en-US" w:eastAsia="zh-CN"/>
                    </w:rPr>
                  </w:pPr>
                  <w:r>
                    <w:rPr>
                      <w:rFonts w:hint="eastAsia" w:asciiTheme="minorEastAsia" w:hAnsiTheme="minorEastAsia" w:eastAsiaTheme="minorEastAsia" w:cstheme="minorEastAsia"/>
                      <w:kern w:val="2"/>
                      <w:vertAlign w:val="baseline"/>
                      <w:lang w:val="en-US" w:eastAsia="zh-CN"/>
                    </w:rPr>
                    <w:t>900-039-49</w:t>
                  </w:r>
                </w:p>
              </w:tc>
              <w:tc>
                <w:tcPr>
                  <w:tcW w:w="1481" w:type="dxa"/>
                  <w:vAlign w:val="center"/>
                </w:tcPr>
                <w:p>
                  <w:pPr>
                    <w:pStyle w:val="10"/>
                    <w:tabs>
                      <w:tab w:val="left" w:pos="3500"/>
                    </w:tabs>
                    <w:kinsoku w:val="0"/>
                    <w:overflowPunct w:val="0"/>
                    <w:spacing w:line="312" w:lineRule="exact"/>
                    <w:rPr>
                      <w:rFonts w:hint="eastAsia" w:asciiTheme="minorEastAsia" w:hAnsiTheme="minorEastAsia" w:eastAsiaTheme="minorEastAsia" w:cstheme="minorEastAsia"/>
                      <w:kern w:val="2"/>
                      <w:vertAlign w:val="baseline"/>
                      <w:lang w:val="en-US" w:eastAsia="zh-CN"/>
                    </w:rPr>
                  </w:pPr>
                  <w:r>
                    <w:rPr>
                      <w:rFonts w:hint="eastAsia" w:asciiTheme="minorEastAsia" w:hAnsiTheme="minorEastAsia" w:eastAsiaTheme="minorEastAsia" w:cstheme="minorEastAsia"/>
                      <w:kern w:val="2"/>
                      <w:vertAlign w:val="baseline"/>
                      <w:lang w:val="en-US" w:eastAsia="zh-CN"/>
                    </w:rPr>
                    <w:t>400</w:t>
                  </w:r>
                </w:p>
              </w:tc>
              <w:tc>
                <w:tcPr>
                  <w:tcW w:w="1481" w:type="dxa"/>
                  <w:vAlign w:val="center"/>
                </w:tcPr>
                <w:p>
                  <w:pPr>
                    <w:pStyle w:val="10"/>
                    <w:tabs>
                      <w:tab w:val="left" w:pos="3500"/>
                    </w:tabs>
                    <w:kinsoku w:val="0"/>
                    <w:overflowPunct w:val="0"/>
                    <w:spacing w:line="312" w:lineRule="exact"/>
                    <w:rPr>
                      <w:rFonts w:hint="eastAsia" w:asciiTheme="minorEastAsia" w:hAnsiTheme="minorEastAsia" w:eastAsiaTheme="minorEastAsia" w:cstheme="minorEastAsia"/>
                      <w:kern w:val="2"/>
                      <w:vertAlign w:val="baseline"/>
                      <w:lang w:val="en-US" w:eastAsia="zh-CN"/>
                    </w:rPr>
                  </w:pPr>
                  <w:r>
                    <w:rPr>
                      <w:rFonts w:hint="eastAsia" w:asciiTheme="minorEastAsia" w:hAnsiTheme="minorEastAsia" w:eastAsiaTheme="minorEastAsia" w:cstheme="minorEastAsia"/>
                      <w:kern w:val="2"/>
                      <w:vertAlign w:val="baseline"/>
                      <w:lang w:val="en-US" w:eastAsia="zh-CN"/>
                    </w:rPr>
                    <w:t/>
                  </w:r>
                </w:p>
              </w:tc>
              <w:tc>
                <w:tcPr>
                  <w:tcW w:w="1481" w:type="dxa"/>
                  <w:vAlign w:val="center"/>
                </w:tcPr>
                <w:p>
                  <w:pPr>
                    <w:pStyle w:val="10"/>
                    <w:tabs>
                      <w:tab w:val="left" w:pos="3500"/>
                    </w:tabs>
                    <w:kinsoku w:val="0"/>
                    <w:overflowPunct w:val="0"/>
                    <w:spacing w:line="312" w:lineRule="exact"/>
                    <w:rPr>
                      <w:rFonts w:hint="eastAsia" w:asciiTheme="minorEastAsia" w:hAnsiTheme="minorEastAsia" w:eastAsiaTheme="minorEastAsia" w:cstheme="minorEastAsia"/>
                      <w:kern w:val="2"/>
                      <w:vertAlign w:val="baseline"/>
                      <w:lang w:val="en-US" w:eastAsia="zh-CN"/>
                    </w:rPr>
                  </w:pPr>
                  <w:r>
                    <w:rPr>
                      <w:rFonts w:hint="eastAsia" w:asciiTheme="minorEastAsia" w:hAnsiTheme="minorEastAsia" w:eastAsiaTheme="minorEastAsia" w:cstheme="minorEastAsia"/>
                      <w:kern w:val="2"/>
                      <w:vertAlign w:val="baseline"/>
                      <w:lang w:val="en-US" w:eastAsia="zh-CN"/>
                    </w:rPr>
                    <w:t>委托利用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480" w:type="dxa"/>
                  <w:tcBorders>
                    <w:left w:val="nil"/>
                  </w:tcBorders>
                  <w:vAlign w:val="center"/>
                </w:tcPr>
                <w:p>
                  <w:pPr>
                    <w:pStyle w:val="10"/>
                    <w:tabs>
                      <w:tab w:val="left" w:pos="3500"/>
                    </w:tabs>
                    <w:kinsoku w:val="0"/>
                    <w:overflowPunct w:val="0"/>
                    <w:spacing w:line="312" w:lineRule="exact"/>
                    <w:rPr>
                      <w:rFonts w:hint="eastAsia" w:asciiTheme="minorEastAsia" w:hAnsiTheme="minorEastAsia" w:eastAsiaTheme="minorEastAsia" w:cstheme="minorEastAsia"/>
                      <w:kern w:val="2"/>
                      <w:vertAlign w:val="baseline"/>
                      <w:lang w:val="en-US" w:eastAsia="zh-CN"/>
                    </w:rPr>
                  </w:pPr>
                  <w:r>
                    <w:rPr>
                      <w:rFonts w:hint="eastAsia" w:asciiTheme="minorEastAsia" w:hAnsiTheme="minorEastAsia" w:eastAsiaTheme="minorEastAsia" w:cstheme="minorEastAsia"/>
                      <w:kern w:val="2"/>
                      <w:vertAlign w:val="baseline"/>
                      <w:lang w:val="en-US" w:eastAsia="zh-CN"/>
                    </w:rPr>
                    <w:t>7</w:t>
                  </w:r>
                </w:p>
              </w:tc>
              <w:tc>
                <w:tcPr>
                  <w:tcW w:w="1480" w:type="dxa"/>
                  <w:vAlign w:val="center"/>
                </w:tcPr>
                <w:p>
                  <w:pPr>
                    <w:pStyle w:val="10"/>
                    <w:tabs>
                      <w:tab w:val="left" w:pos="3500"/>
                    </w:tabs>
                    <w:kinsoku w:val="0"/>
                    <w:overflowPunct w:val="0"/>
                    <w:spacing w:line="312" w:lineRule="exact"/>
                    <w:rPr>
                      <w:rFonts w:hint="eastAsia" w:asciiTheme="minorEastAsia" w:hAnsiTheme="minorEastAsia" w:eastAsiaTheme="minorEastAsia" w:cstheme="minorEastAsia"/>
                      <w:kern w:val="2"/>
                      <w:vertAlign w:val="baseline"/>
                      <w:lang w:val="en-US" w:eastAsia="zh-CN"/>
                    </w:rPr>
                  </w:pPr>
                  <w:r>
                    <w:rPr>
                      <w:rFonts w:hint="eastAsia" w:asciiTheme="minorEastAsia" w:hAnsiTheme="minorEastAsia" w:eastAsiaTheme="minorEastAsia" w:cstheme="minorEastAsia"/>
                      <w:kern w:val="2"/>
                      <w:vertAlign w:val="baseline"/>
                      <w:lang w:val="en-US" w:eastAsia="zh-CN"/>
                    </w:rPr>
                    <w:t>蒸馏釜残（硝基酚装置）</w:t>
                  </w:r>
                </w:p>
              </w:tc>
              <w:tc>
                <w:tcPr>
                  <w:tcW w:w="1480" w:type="dxa"/>
                  <w:vAlign w:val="center"/>
                </w:tcPr>
                <w:p>
                  <w:pPr>
                    <w:pStyle w:val="10"/>
                    <w:tabs>
                      <w:tab w:val="left" w:pos="3500"/>
                    </w:tabs>
                    <w:kinsoku w:val="0"/>
                    <w:overflowPunct w:val="0"/>
                    <w:spacing w:line="312" w:lineRule="exact"/>
                    <w:rPr>
                      <w:rFonts w:hint="eastAsia" w:asciiTheme="minorEastAsia" w:hAnsiTheme="minorEastAsia" w:eastAsiaTheme="minorEastAsia" w:cstheme="minorEastAsia"/>
                      <w:kern w:val="2"/>
                      <w:vertAlign w:val="baseline"/>
                      <w:lang w:val="en-US" w:eastAsia="zh-CN"/>
                    </w:rPr>
                  </w:pPr>
                  <w:r>
                    <w:rPr>
                      <w:rFonts w:hint="eastAsia" w:asciiTheme="minorEastAsia" w:hAnsiTheme="minorEastAsia" w:eastAsiaTheme="minorEastAsia" w:cstheme="minorEastAsia"/>
                      <w:kern w:val="2"/>
                      <w:vertAlign w:val="baseline"/>
                      <w:lang w:val="en-US" w:eastAsia="zh-CN"/>
                    </w:rPr>
                    <w:t>900-013-11</w:t>
                  </w:r>
                </w:p>
              </w:tc>
              <w:tc>
                <w:tcPr>
                  <w:tcW w:w="1481" w:type="dxa"/>
                  <w:vAlign w:val="center"/>
                </w:tcPr>
                <w:p>
                  <w:pPr>
                    <w:pStyle w:val="10"/>
                    <w:tabs>
                      <w:tab w:val="left" w:pos="3500"/>
                    </w:tabs>
                    <w:kinsoku w:val="0"/>
                    <w:overflowPunct w:val="0"/>
                    <w:spacing w:line="312" w:lineRule="exact"/>
                    <w:rPr>
                      <w:rFonts w:hint="eastAsia" w:asciiTheme="minorEastAsia" w:hAnsiTheme="minorEastAsia" w:eastAsiaTheme="minorEastAsia" w:cstheme="minorEastAsia"/>
                      <w:kern w:val="2"/>
                      <w:vertAlign w:val="baseline"/>
                      <w:lang w:val="en-US" w:eastAsia="zh-CN"/>
                    </w:rPr>
                  </w:pPr>
                  <w:r>
                    <w:rPr>
                      <w:rFonts w:hint="eastAsia" w:asciiTheme="minorEastAsia" w:hAnsiTheme="minorEastAsia" w:eastAsiaTheme="minorEastAsia" w:cstheme="minorEastAsia"/>
                      <w:kern w:val="2"/>
                      <w:vertAlign w:val="baseline"/>
                      <w:lang w:val="en-US" w:eastAsia="zh-CN"/>
                    </w:rPr>
                    <w:t>100</w:t>
                  </w:r>
                </w:p>
              </w:tc>
              <w:tc>
                <w:tcPr>
                  <w:tcW w:w="1481" w:type="dxa"/>
                  <w:vAlign w:val="center"/>
                </w:tcPr>
                <w:p>
                  <w:pPr>
                    <w:pStyle w:val="10"/>
                    <w:tabs>
                      <w:tab w:val="left" w:pos="3500"/>
                    </w:tabs>
                    <w:kinsoku w:val="0"/>
                    <w:overflowPunct w:val="0"/>
                    <w:spacing w:line="312" w:lineRule="exact"/>
                    <w:rPr>
                      <w:rFonts w:hint="eastAsia" w:asciiTheme="minorEastAsia" w:hAnsiTheme="minorEastAsia" w:eastAsiaTheme="minorEastAsia" w:cstheme="minorEastAsia"/>
                      <w:kern w:val="2"/>
                      <w:vertAlign w:val="baseline"/>
                      <w:lang w:val="en-US" w:eastAsia="zh-CN"/>
                    </w:rPr>
                  </w:pPr>
                  <w:r>
                    <w:rPr>
                      <w:rFonts w:hint="eastAsia" w:asciiTheme="minorEastAsia" w:hAnsiTheme="minorEastAsia" w:eastAsiaTheme="minorEastAsia" w:cstheme="minorEastAsia"/>
                      <w:kern w:val="2"/>
                      <w:vertAlign w:val="baseline"/>
                      <w:lang w:val="en-US" w:eastAsia="zh-CN"/>
                    </w:rPr>
                    <w:t/>
                  </w:r>
                </w:p>
              </w:tc>
              <w:tc>
                <w:tcPr>
                  <w:tcW w:w="1481" w:type="dxa"/>
                  <w:vAlign w:val="center"/>
                </w:tcPr>
                <w:p>
                  <w:pPr>
                    <w:pStyle w:val="10"/>
                    <w:tabs>
                      <w:tab w:val="left" w:pos="3500"/>
                    </w:tabs>
                    <w:kinsoku w:val="0"/>
                    <w:overflowPunct w:val="0"/>
                    <w:spacing w:line="312" w:lineRule="exact"/>
                    <w:rPr>
                      <w:rFonts w:hint="eastAsia" w:asciiTheme="minorEastAsia" w:hAnsiTheme="minorEastAsia" w:eastAsiaTheme="minorEastAsia" w:cstheme="minorEastAsia"/>
                      <w:kern w:val="2"/>
                      <w:vertAlign w:val="baseline"/>
                      <w:lang w:val="en-US" w:eastAsia="zh-CN"/>
                    </w:rPr>
                  </w:pPr>
                  <w:r>
                    <w:rPr>
                      <w:rFonts w:hint="eastAsia" w:asciiTheme="minorEastAsia" w:hAnsiTheme="minorEastAsia" w:eastAsiaTheme="minorEastAsia" w:cstheme="minorEastAsia"/>
                      <w:kern w:val="2"/>
                      <w:vertAlign w:val="baseline"/>
                      <w:lang w:val="en-US" w:eastAsia="zh-CN"/>
                    </w:rPr>
                    <w:t>委托利用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480" w:type="dxa"/>
                  <w:tcBorders>
                    <w:left w:val="nil"/>
                  </w:tcBorders>
                  <w:vAlign w:val="center"/>
                </w:tcPr>
                <w:p>
                  <w:pPr>
                    <w:pStyle w:val="10"/>
                    <w:tabs>
                      <w:tab w:val="left" w:pos="3500"/>
                    </w:tabs>
                    <w:kinsoku w:val="0"/>
                    <w:overflowPunct w:val="0"/>
                    <w:spacing w:line="312" w:lineRule="exact"/>
                    <w:rPr>
                      <w:rFonts w:hint="eastAsia" w:asciiTheme="minorEastAsia" w:hAnsiTheme="minorEastAsia" w:eastAsiaTheme="minorEastAsia" w:cstheme="minorEastAsia"/>
                      <w:kern w:val="2"/>
                      <w:vertAlign w:val="baseline"/>
                      <w:lang w:val="en-US" w:eastAsia="zh-CN"/>
                    </w:rPr>
                  </w:pPr>
                  <w:r>
                    <w:rPr>
                      <w:rFonts w:hint="eastAsia" w:asciiTheme="minorEastAsia" w:hAnsiTheme="minorEastAsia" w:eastAsiaTheme="minorEastAsia" w:cstheme="minorEastAsia"/>
                      <w:kern w:val="2"/>
                      <w:vertAlign w:val="baseline"/>
                      <w:lang w:val="en-US" w:eastAsia="zh-CN"/>
                    </w:rPr>
                    <w:t>8</w:t>
                  </w:r>
                </w:p>
              </w:tc>
              <w:tc>
                <w:tcPr>
                  <w:tcW w:w="1480" w:type="dxa"/>
                  <w:vAlign w:val="center"/>
                </w:tcPr>
                <w:p>
                  <w:pPr>
                    <w:pStyle w:val="10"/>
                    <w:tabs>
                      <w:tab w:val="left" w:pos="3500"/>
                    </w:tabs>
                    <w:kinsoku w:val="0"/>
                    <w:overflowPunct w:val="0"/>
                    <w:spacing w:line="312" w:lineRule="exact"/>
                    <w:rPr>
                      <w:rFonts w:hint="eastAsia" w:asciiTheme="minorEastAsia" w:hAnsiTheme="minorEastAsia" w:eastAsiaTheme="minorEastAsia" w:cstheme="minorEastAsia"/>
                      <w:kern w:val="2"/>
                      <w:vertAlign w:val="baseline"/>
                      <w:lang w:val="en-US" w:eastAsia="zh-CN"/>
                    </w:rPr>
                  </w:pPr>
                  <w:r>
                    <w:rPr>
                      <w:rFonts w:hint="eastAsia" w:asciiTheme="minorEastAsia" w:hAnsiTheme="minorEastAsia" w:eastAsiaTheme="minorEastAsia" w:cstheme="minorEastAsia"/>
                      <w:kern w:val="2"/>
                      <w:vertAlign w:val="baseline"/>
                      <w:lang w:val="en-US" w:eastAsia="zh-CN"/>
                    </w:rPr>
                    <w:t>产品精制焦油（精蒸馏残渣）</w:t>
                  </w:r>
                </w:p>
              </w:tc>
              <w:tc>
                <w:tcPr>
                  <w:tcW w:w="1480" w:type="dxa"/>
                  <w:vAlign w:val="center"/>
                </w:tcPr>
                <w:p>
                  <w:pPr>
                    <w:pStyle w:val="10"/>
                    <w:tabs>
                      <w:tab w:val="left" w:pos="3500"/>
                    </w:tabs>
                    <w:kinsoku w:val="0"/>
                    <w:overflowPunct w:val="0"/>
                    <w:spacing w:line="312" w:lineRule="exact"/>
                    <w:rPr>
                      <w:rFonts w:hint="eastAsia" w:asciiTheme="minorEastAsia" w:hAnsiTheme="minorEastAsia" w:eastAsiaTheme="minorEastAsia" w:cstheme="minorEastAsia"/>
                      <w:kern w:val="2"/>
                      <w:vertAlign w:val="baseline"/>
                      <w:lang w:val="en-US" w:eastAsia="zh-CN"/>
                    </w:rPr>
                  </w:pPr>
                  <w:r>
                    <w:rPr>
                      <w:rFonts w:hint="eastAsia" w:asciiTheme="minorEastAsia" w:hAnsiTheme="minorEastAsia" w:eastAsiaTheme="minorEastAsia" w:cstheme="minorEastAsia"/>
                      <w:kern w:val="2"/>
                      <w:vertAlign w:val="baseline"/>
                      <w:lang w:val="en-US" w:eastAsia="zh-CN"/>
                    </w:rPr>
                    <w:t>900-013-11</w:t>
                  </w:r>
                </w:p>
              </w:tc>
              <w:tc>
                <w:tcPr>
                  <w:tcW w:w="1481" w:type="dxa"/>
                  <w:vAlign w:val="center"/>
                </w:tcPr>
                <w:p>
                  <w:pPr>
                    <w:pStyle w:val="10"/>
                    <w:tabs>
                      <w:tab w:val="left" w:pos="3500"/>
                    </w:tabs>
                    <w:kinsoku w:val="0"/>
                    <w:overflowPunct w:val="0"/>
                    <w:spacing w:line="312" w:lineRule="exact"/>
                    <w:rPr>
                      <w:rFonts w:hint="eastAsia" w:asciiTheme="minorEastAsia" w:hAnsiTheme="minorEastAsia" w:eastAsiaTheme="minorEastAsia" w:cstheme="minorEastAsia"/>
                      <w:kern w:val="2"/>
                      <w:vertAlign w:val="baseline"/>
                      <w:lang w:val="en-US" w:eastAsia="zh-CN"/>
                    </w:rPr>
                  </w:pPr>
                  <w:r>
                    <w:rPr>
                      <w:rFonts w:hint="eastAsia" w:asciiTheme="minorEastAsia" w:hAnsiTheme="minorEastAsia" w:eastAsiaTheme="minorEastAsia" w:cstheme="minorEastAsia"/>
                      <w:kern w:val="2"/>
                      <w:vertAlign w:val="baseline"/>
                      <w:lang w:val="en-US" w:eastAsia="zh-CN"/>
                    </w:rPr>
                    <w:t>400</w:t>
                  </w:r>
                </w:p>
              </w:tc>
              <w:tc>
                <w:tcPr>
                  <w:tcW w:w="1481" w:type="dxa"/>
                  <w:vAlign w:val="center"/>
                </w:tcPr>
                <w:p>
                  <w:pPr>
                    <w:pStyle w:val="10"/>
                    <w:tabs>
                      <w:tab w:val="left" w:pos="3500"/>
                    </w:tabs>
                    <w:kinsoku w:val="0"/>
                    <w:overflowPunct w:val="0"/>
                    <w:spacing w:line="312" w:lineRule="exact"/>
                    <w:rPr>
                      <w:rFonts w:hint="eastAsia" w:asciiTheme="minorEastAsia" w:hAnsiTheme="minorEastAsia" w:eastAsiaTheme="minorEastAsia" w:cstheme="minorEastAsia"/>
                      <w:kern w:val="2"/>
                      <w:vertAlign w:val="baseline"/>
                      <w:lang w:val="en-US" w:eastAsia="zh-CN"/>
                    </w:rPr>
                  </w:pPr>
                  <w:r>
                    <w:rPr>
                      <w:rFonts w:hint="eastAsia" w:asciiTheme="minorEastAsia" w:hAnsiTheme="minorEastAsia" w:eastAsiaTheme="minorEastAsia" w:cstheme="minorEastAsia"/>
                      <w:kern w:val="2"/>
                      <w:vertAlign w:val="baseline"/>
                      <w:lang w:val="en-US" w:eastAsia="zh-CN"/>
                    </w:rPr>
                    <w:t/>
                  </w:r>
                </w:p>
              </w:tc>
              <w:tc>
                <w:tcPr>
                  <w:tcW w:w="1481" w:type="dxa"/>
                  <w:vAlign w:val="center"/>
                </w:tcPr>
                <w:p>
                  <w:pPr>
                    <w:pStyle w:val="10"/>
                    <w:tabs>
                      <w:tab w:val="left" w:pos="3500"/>
                    </w:tabs>
                    <w:kinsoku w:val="0"/>
                    <w:overflowPunct w:val="0"/>
                    <w:spacing w:line="312" w:lineRule="exact"/>
                    <w:rPr>
                      <w:rFonts w:hint="eastAsia" w:asciiTheme="minorEastAsia" w:hAnsiTheme="minorEastAsia" w:eastAsiaTheme="minorEastAsia" w:cstheme="minorEastAsia"/>
                      <w:kern w:val="2"/>
                      <w:vertAlign w:val="baseline"/>
                      <w:lang w:val="en-US" w:eastAsia="zh-CN"/>
                    </w:rPr>
                  </w:pPr>
                  <w:r>
                    <w:rPr>
                      <w:rFonts w:hint="eastAsia" w:asciiTheme="minorEastAsia" w:hAnsiTheme="minorEastAsia" w:eastAsiaTheme="minorEastAsia" w:cstheme="minorEastAsia"/>
                      <w:kern w:val="2"/>
                      <w:vertAlign w:val="baseline"/>
                      <w:lang w:val="en-US" w:eastAsia="zh-CN"/>
                    </w:rPr>
                    <w:t>委托利用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480" w:type="dxa"/>
                  <w:tcBorders>
                    <w:left w:val="nil"/>
                  </w:tcBorders>
                  <w:vAlign w:val="center"/>
                </w:tcPr>
                <w:p>
                  <w:pPr>
                    <w:pStyle w:val="10"/>
                    <w:tabs>
                      <w:tab w:val="left" w:pos="3500"/>
                    </w:tabs>
                    <w:kinsoku w:val="0"/>
                    <w:overflowPunct w:val="0"/>
                    <w:spacing w:line="312" w:lineRule="exact"/>
                    <w:rPr>
                      <w:rFonts w:hint="eastAsia" w:asciiTheme="minorEastAsia" w:hAnsiTheme="minorEastAsia" w:eastAsiaTheme="minorEastAsia" w:cstheme="minorEastAsia"/>
                      <w:kern w:val="2"/>
                      <w:vertAlign w:val="baseline"/>
                      <w:lang w:val="en-US" w:eastAsia="zh-CN"/>
                    </w:rPr>
                  </w:pPr>
                  <w:r>
                    <w:rPr>
                      <w:rFonts w:hint="eastAsia" w:asciiTheme="minorEastAsia" w:hAnsiTheme="minorEastAsia" w:eastAsiaTheme="minorEastAsia" w:cstheme="minorEastAsia"/>
                      <w:kern w:val="2"/>
                      <w:vertAlign w:val="baseline"/>
                      <w:lang w:val="en-US" w:eastAsia="zh-CN"/>
                    </w:rPr>
                    <w:t>9</w:t>
                  </w:r>
                </w:p>
              </w:tc>
              <w:tc>
                <w:tcPr>
                  <w:tcW w:w="1480" w:type="dxa"/>
                  <w:vAlign w:val="center"/>
                </w:tcPr>
                <w:p>
                  <w:pPr>
                    <w:pStyle w:val="10"/>
                    <w:tabs>
                      <w:tab w:val="left" w:pos="3500"/>
                    </w:tabs>
                    <w:kinsoku w:val="0"/>
                    <w:overflowPunct w:val="0"/>
                    <w:spacing w:line="312" w:lineRule="exact"/>
                    <w:rPr>
                      <w:rFonts w:hint="eastAsia" w:asciiTheme="minorEastAsia" w:hAnsiTheme="minorEastAsia" w:eastAsiaTheme="minorEastAsia" w:cstheme="minorEastAsia"/>
                      <w:kern w:val="2"/>
                      <w:vertAlign w:val="baseline"/>
                      <w:lang w:val="en-US" w:eastAsia="zh-CN"/>
                    </w:rPr>
                  </w:pPr>
                  <w:r>
                    <w:rPr>
                      <w:rFonts w:hint="eastAsia" w:asciiTheme="minorEastAsia" w:hAnsiTheme="minorEastAsia" w:eastAsiaTheme="minorEastAsia" w:cstheme="minorEastAsia"/>
                      <w:kern w:val="2"/>
                      <w:vertAlign w:val="baseline"/>
                      <w:lang w:val="en-US" w:eastAsia="zh-CN"/>
                    </w:rPr>
                    <w:t>甲醚二次蒸馏焦油</w:t>
                  </w:r>
                </w:p>
              </w:tc>
              <w:tc>
                <w:tcPr>
                  <w:tcW w:w="1480" w:type="dxa"/>
                  <w:vAlign w:val="center"/>
                </w:tcPr>
                <w:p>
                  <w:pPr>
                    <w:pStyle w:val="10"/>
                    <w:tabs>
                      <w:tab w:val="left" w:pos="3500"/>
                    </w:tabs>
                    <w:kinsoku w:val="0"/>
                    <w:overflowPunct w:val="0"/>
                    <w:spacing w:line="312" w:lineRule="exact"/>
                    <w:rPr>
                      <w:rFonts w:hint="eastAsia" w:asciiTheme="minorEastAsia" w:hAnsiTheme="minorEastAsia" w:eastAsiaTheme="minorEastAsia" w:cstheme="minorEastAsia"/>
                      <w:kern w:val="2"/>
                      <w:vertAlign w:val="baseline"/>
                      <w:lang w:val="en-US" w:eastAsia="zh-CN"/>
                    </w:rPr>
                  </w:pPr>
                  <w:r>
                    <w:rPr>
                      <w:rFonts w:hint="eastAsia" w:asciiTheme="minorEastAsia" w:hAnsiTheme="minorEastAsia" w:eastAsiaTheme="minorEastAsia" w:cstheme="minorEastAsia"/>
                      <w:kern w:val="2"/>
                      <w:vertAlign w:val="baseline"/>
                      <w:lang w:val="en-US" w:eastAsia="zh-CN"/>
                    </w:rPr>
                    <w:t>900-013-11</w:t>
                  </w:r>
                </w:p>
              </w:tc>
              <w:tc>
                <w:tcPr>
                  <w:tcW w:w="1481" w:type="dxa"/>
                  <w:vAlign w:val="center"/>
                </w:tcPr>
                <w:p>
                  <w:pPr>
                    <w:pStyle w:val="10"/>
                    <w:tabs>
                      <w:tab w:val="left" w:pos="3500"/>
                    </w:tabs>
                    <w:kinsoku w:val="0"/>
                    <w:overflowPunct w:val="0"/>
                    <w:spacing w:line="312" w:lineRule="exact"/>
                    <w:rPr>
                      <w:rFonts w:hint="eastAsia" w:asciiTheme="minorEastAsia" w:hAnsiTheme="minorEastAsia" w:eastAsiaTheme="minorEastAsia" w:cstheme="minorEastAsia"/>
                      <w:kern w:val="2"/>
                      <w:vertAlign w:val="baseline"/>
                      <w:lang w:val="en-US" w:eastAsia="zh-CN"/>
                    </w:rPr>
                  </w:pPr>
                  <w:r>
                    <w:rPr>
                      <w:rFonts w:hint="eastAsia" w:asciiTheme="minorEastAsia" w:hAnsiTheme="minorEastAsia" w:eastAsiaTheme="minorEastAsia" w:cstheme="minorEastAsia"/>
                      <w:kern w:val="2"/>
                      <w:vertAlign w:val="baseline"/>
                      <w:lang w:val="en-US" w:eastAsia="zh-CN"/>
                    </w:rPr>
                    <w:t>300</w:t>
                  </w:r>
                </w:p>
              </w:tc>
              <w:tc>
                <w:tcPr>
                  <w:tcW w:w="1481" w:type="dxa"/>
                  <w:vAlign w:val="center"/>
                </w:tcPr>
                <w:p>
                  <w:pPr>
                    <w:pStyle w:val="10"/>
                    <w:tabs>
                      <w:tab w:val="left" w:pos="3500"/>
                    </w:tabs>
                    <w:kinsoku w:val="0"/>
                    <w:overflowPunct w:val="0"/>
                    <w:spacing w:line="312" w:lineRule="exact"/>
                    <w:rPr>
                      <w:rFonts w:hint="eastAsia" w:asciiTheme="minorEastAsia" w:hAnsiTheme="minorEastAsia" w:eastAsiaTheme="minorEastAsia" w:cstheme="minorEastAsia"/>
                      <w:kern w:val="2"/>
                      <w:vertAlign w:val="baseline"/>
                      <w:lang w:val="en-US" w:eastAsia="zh-CN"/>
                    </w:rPr>
                  </w:pPr>
                  <w:r>
                    <w:rPr>
                      <w:rFonts w:hint="eastAsia" w:asciiTheme="minorEastAsia" w:hAnsiTheme="minorEastAsia" w:eastAsiaTheme="minorEastAsia" w:cstheme="minorEastAsia"/>
                      <w:kern w:val="2"/>
                      <w:vertAlign w:val="baseline"/>
                      <w:lang w:val="en-US" w:eastAsia="zh-CN"/>
                    </w:rPr>
                    <w:t/>
                  </w:r>
                </w:p>
              </w:tc>
              <w:tc>
                <w:tcPr>
                  <w:tcW w:w="1481" w:type="dxa"/>
                  <w:vAlign w:val="center"/>
                </w:tcPr>
                <w:p>
                  <w:pPr>
                    <w:pStyle w:val="10"/>
                    <w:tabs>
                      <w:tab w:val="left" w:pos="3500"/>
                    </w:tabs>
                    <w:kinsoku w:val="0"/>
                    <w:overflowPunct w:val="0"/>
                    <w:spacing w:line="312" w:lineRule="exact"/>
                    <w:rPr>
                      <w:rFonts w:hint="eastAsia" w:asciiTheme="minorEastAsia" w:hAnsiTheme="minorEastAsia" w:eastAsiaTheme="minorEastAsia" w:cstheme="minorEastAsia"/>
                      <w:kern w:val="2"/>
                      <w:vertAlign w:val="baseline"/>
                      <w:lang w:val="en-US" w:eastAsia="zh-CN"/>
                    </w:rPr>
                  </w:pPr>
                  <w:r>
                    <w:rPr>
                      <w:rFonts w:hint="eastAsia" w:asciiTheme="minorEastAsia" w:hAnsiTheme="minorEastAsia" w:eastAsiaTheme="minorEastAsia" w:cstheme="minorEastAsia"/>
                      <w:kern w:val="2"/>
                      <w:vertAlign w:val="baseline"/>
                      <w:lang w:val="en-US" w:eastAsia="zh-CN"/>
                    </w:rPr>
                    <w:t>委托利用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480" w:type="dxa"/>
                  <w:tcBorders>
                    <w:left w:val="nil"/>
                  </w:tcBorders>
                  <w:vAlign w:val="center"/>
                </w:tcPr>
                <w:p>
                  <w:pPr>
                    <w:pStyle w:val="10"/>
                    <w:tabs>
                      <w:tab w:val="left" w:pos="3500"/>
                    </w:tabs>
                    <w:kinsoku w:val="0"/>
                    <w:overflowPunct w:val="0"/>
                    <w:spacing w:line="312" w:lineRule="exact"/>
                    <w:rPr>
                      <w:rFonts w:hint="eastAsia" w:asciiTheme="minorEastAsia" w:hAnsiTheme="minorEastAsia" w:eastAsiaTheme="minorEastAsia" w:cstheme="minorEastAsia"/>
                      <w:kern w:val="2"/>
                      <w:vertAlign w:val="baseline"/>
                      <w:lang w:val="en-US" w:eastAsia="zh-CN"/>
                    </w:rPr>
                  </w:pPr>
                  <w:r>
                    <w:rPr>
                      <w:rFonts w:hint="eastAsia" w:asciiTheme="minorEastAsia" w:hAnsiTheme="minorEastAsia" w:eastAsiaTheme="minorEastAsia" w:cstheme="minorEastAsia"/>
                      <w:kern w:val="2"/>
                      <w:vertAlign w:val="baseline"/>
                      <w:lang w:val="en-US" w:eastAsia="zh-CN"/>
                    </w:rPr>
                    <w:t>10</w:t>
                  </w:r>
                </w:p>
              </w:tc>
              <w:tc>
                <w:tcPr>
                  <w:tcW w:w="1480" w:type="dxa"/>
                  <w:vAlign w:val="center"/>
                </w:tcPr>
                <w:p>
                  <w:pPr>
                    <w:pStyle w:val="10"/>
                    <w:tabs>
                      <w:tab w:val="left" w:pos="3500"/>
                    </w:tabs>
                    <w:kinsoku w:val="0"/>
                    <w:overflowPunct w:val="0"/>
                    <w:spacing w:line="312" w:lineRule="exact"/>
                    <w:rPr>
                      <w:rFonts w:hint="eastAsia" w:asciiTheme="minorEastAsia" w:hAnsiTheme="minorEastAsia" w:eastAsiaTheme="minorEastAsia" w:cstheme="minorEastAsia"/>
                      <w:kern w:val="2"/>
                      <w:vertAlign w:val="baseline"/>
                      <w:lang w:val="en-US" w:eastAsia="zh-CN"/>
                    </w:rPr>
                  </w:pPr>
                  <w:r>
                    <w:rPr>
                      <w:rFonts w:hint="eastAsia" w:asciiTheme="minorEastAsia" w:hAnsiTheme="minorEastAsia" w:eastAsiaTheme="minorEastAsia" w:cstheme="minorEastAsia"/>
                      <w:kern w:val="2"/>
                      <w:vertAlign w:val="baseline"/>
                      <w:lang w:val="en-US" w:eastAsia="zh-CN"/>
                    </w:rPr>
                    <w:t>间位油</w:t>
                  </w:r>
                </w:p>
              </w:tc>
              <w:tc>
                <w:tcPr>
                  <w:tcW w:w="1480" w:type="dxa"/>
                  <w:vAlign w:val="center"/>
                </w:tcPr>
                <w:p>
                  <w:pPr>
                    <w:pStyle w:val="10"/>
                    <w:tabs>
                      <w:tab w:val="left" w:pos="3500"/>
                    </w:tabs>
                    <w:kinsoku w:val="0"/>
                    <w:overflowPunct w:val="0"/>
                    <w:spacing w:line="312" w:lineRule="exact"/>
                    <w:rPr>
                      <w:rFonts w:hint="eastAsia" w:asciiTheme="minorEastAsia" w:hAnsiTheme="minorEastAsia" w:eastAsiaTheme="minorEastAsia" w:cstheme="minorEastAsia"/>
                      <w:kern w:val="2"/>
                      <w:vertAlign w:val="baseline"/>
                      <w:lang w:val="en-US" w:eastAsia="zh-CN"/>
                    </w:rPr>
                  </w:pPr>
                  <w:r>
                    <w:rPr>
                      <w:rFonts w:hint="eastAsia" w:asciiTheme="minorEastAsia" w:hAnsiTheme="minorEastAsia" w:eastAsiaTheme="minorEastAsia" w:cstheme="minorEastAsia"/>
                      <w:kern w:val="2"/>
                      <w:vertAlign w:val="baseline"/>
                      <w:lang w:val="en-US" w:eastAsia="zh-CN"/>
                    </w:rPr>
                    <w:t>261-026-11</w:t>
                  </w:r>
                </w:p>
              </w:tc>
              <w:tc>
                <w:tcPr>
                  <w:tcW w:w="1481" w:type="dxa"/>
                  <w:vAlign w:val="center"/>
                </w:tcPr>
                <w:p>
                  <w:pPr>
                    <w:pStyle w:val="10"/>
                    <w:tabs>
                      <w:tab w:val="left" w:pos="3500"/>
                    </w:tabs>
                    <w:kinsoku w:val="0"/>
                    <w:overflowPunct w:val="0"/>
                    <w:spacing w:line="312" w:lineRule="exact"/>
                    <w:rPr>
                      <w:rFonts w:hint="eastAsia" w:asciiTheme="minorEastAsia" w:hAnsiTheme="minorEastAsia" w:eastAsiaTheme="minorEastAsia" w:cstheme="minorEastAsia"/>
                      <w:kern w:val="2"/>
                      <w:vertAlign w:val="baseline"/>
                      <w:lang w:val="en-US" w:eastAsia="zh-CN"/>
                    </w:rPr>
                  </w:pPr>
                  <w:r>
                    <w:rPr>
                      <w:rFonts w:hint="eastAsia" w:asciiTheme="minorEastAsia" w:hAnsiTheme="minorEastAsia" w:eastAsiaTheme="minorEastAsia" w:cstheme="minorEastAsia"/>
                      <w:kern w:val="2"/>
                      <w:vertAlign w:val="baseline"/>
                      <w:lang w:val="en-US" w:eastAsia="zh-CN"/>
                    </w:rPr>
                    <w:t>400</w:t>
                  </w:r>
                </w:p>
              </w:tc>
              <w:tc>
                <w:tcPr>
                  <w:tcW w:w="1481" w:type="dxa"/>
                  <w:vAlign w:val="center"/>
                </w:tcPr>
                <w:p>
                  <w:pPr>
                    <w:pStyle w:val="10"/>
                    <w:tabs>
                      <w:tab w:val="left" w:pos="3500"/>
                    </w:tabs>
                    <w:kinsoku w:val="0"/>
                    <w:overflowPunct w:val="0"/>
                    <w:spacing w:line="312" w:lineRule="exact"/>
                    <w:rPr>
                      <w:rFonts w:hint="eastAsia" w:asciiTheme="minorEastAsia" w:hAnsiTheme="minorEastAsia" w:eastAsiaTheme="minorEastAsia" w:cstheme="minorEastAsia"/>
                      <w:kern w:val="2"/>
                      <w:vertAlign w:val="baseline"/>
                      <w:lang w:val="en-US" w:eastAsia="zh-CN"/>
                    </w:rPr>
                  </w:pPr>
                  <w:r>
                    <w:rPr>
                      <w:rFonts w:hint="eastAsia" w:asciiTheme="minorEastAsia" w:hAnsiTheme="minorEastAsia" w:eastAsiaTheme="minorEastAsia" w:cstheme="minorEastAsia"/>
                      <w:kern w:val="2"/>
                      <w:vertAlign w:val="baseline"/>
                      <w:lang w:val="en-US" w:eastAsia="zh-CN"/>
                    </w:rPr>
                    <w:t/>
                  </w:r>
                </w:p>
              </w:tc>
              <w:tc>
                <w:tcPr>
                  <w:tcW w:w="1481" w:type="dxa"/>
                  <w:vAlign w:val="center"/>
                </w:tcPr>
                <w:p>
                  <w:pPr>
                    <w:pStyle w:val="10"/>
                    <w:tabs>
                      <w:tab w:val="left" w:pos="3500"/>
                    </w:tabs>
                    <w:kinsoku w:val="0"/>
                    <w:overflowPunct w:val="0"/>
                    <w:spacing w:line="312" w:lineRule="exact"/>
                    <w:rPr>
                      <w:rFonts w:hint="eastAsia" w:asciiTheme="minorEastAsia" w:hAnsiTheme="minorEastAsia" w:eastAsiaTheme="minorEastAsia" w:cstheme="minorEastAsia"/>
                      <w:kern w:val="2"/>
                      <w:vertAlign w:val="baseline"/>
                      <w:lang w:val="en-US" w:eastAsia="zh-CN"/>
                    </w:rPr>
                  </w:pPr>
                  <w:r>
                    <w:rPr>
                      <w:rFonts w:hint="eastAsia" w:asciiTheme="minorEastAsia" w:hAnsiTheme="minorEastAsia" w:eastAsiaTheme="minorEastAsia" w:cstheme="minorEastAsia"/>
                      <w:kern w:val="2"/>
                      <w:vertAlign w:val="baseline"/>
                      <w:lang w:val="en-US" w:eastAsia="zh-CN"/>
                    </w:rPr>
                    <w:t>委托处置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480" w:type="dxa"/>
                  <w:tcBorders>
                    <w:left w:val="nil"/>
                  </w:tcBorders>
                  <w:vAlign w:val="center"/>
                </w:tcPr>
                <w:p>
                  <w:pPr>
                    <w:pStyle w:val="10"/>
                    <w:tabs>
                      <w:tab w:val="left" w:pos="3500"/>
                    </w:tabs>
                    <w:kinsoku w:val="0"/>
                    <w:overflowPunct w:val="0"/>
                    <w:spacing w:line="312" w:lineRule="exact"/>
                    <w:rPr>
                      <w:rFonts w:hint="eastAsia" w:asciiTheme="minorEastAsia" w:hAnsiTheme="minorEastAsia" w:eastAsiaTheme="minorEastAsia" w:cstheme="minorEastAsia"/>
                      <w:kern w:val="2"/>
                      <w:vertAlign w:val="baseline"/>
                      <w:lang w:val="en-US" w:eastAsia="zh-CN"/>
                    </w:rPr>
                  </w:pPr>
                  <w:r>
                    <w:rPr>
                      <w:rFonts w:hint="eastAsia" w:asciiTheme="minorEastAsia" w:hAnsiTheme="minorEastAsia" w:eastAsiaTheme="minorEastAsia" w:cstheme="minorEastAsia"/>
                      <w:kern w:val="2"/>
                      <w:vertAlign w:val="baseline"/>
                      <w:lang w:val="en-US" w:eastAsia="zh-CN"/>
                    </w:rPr>
                    <w:t>11</w:t>
                  </w:r>
                </w:p>
              </w:tc>
              <w:tc>
                <w:tcPr>
                  <w:tcW w:w="1480" w:type="dxa"/>
                  <w:vAlign w:val="center"/>
                </w:tcPr>
                <w:p>
                  <w:pPr>
                    <w:pStyle w:val="10"/>
                    <w:tabs>
                      <w:tab w:val="left" w:pos="3500"/>
                    </w:tabs>
                    <w:kinsoku w:val="0"/>
                    <w:overflowPunct w:val="0"/>
                    <w:spacing w:line="312" w:lineRule="exact"/>
                    <w:rPr>
                      <w:rFonts w:hint="eastAsia" w:asciiTheme="minorEastAsia" w:hAnsiTheme="minorEastAsia" w:eastAsiaTheme="minorEastAsia" w:cstheme="minorEastAsia"/>
                      <w:kern w:val="2"/>
                      <w:vertAlign w:val="baseline"/>
                      <w:lang w:val="en-US" w:eastAsia="zh-CN"/>
                    </w:rPr>
                  </w:pPr>
                  <w:r>
                    <w:rPr>
                      <w:rFonts w:hint="eastAsia" w:asciiTheme="minorEastAsia" w:hAnsiTheme="minorEastAsia" w:eastAsiaTheme="minorEastAsia" w:cstheme="minorEastAsia"/>
                      <w:kern w:val="2"/>
                      <w:vertAlign w:val="baseline"/>
                      <w:lang w:val="en-US" w:eastAsia="zh-CN"/>
                    </w:rPr>
                    <w:t>粗制下脚/精制下脚</w:t>
                  </w:r>
                </w:p>
              </w:tc>
              <w:tc>
                <w:tcPr>
                  <w:tcW w:w="1480" w:type="dxa"/>
                  <w:vAlign w:val="center"/>
                </w:tcPr>
                <w:p>
                  <w:pPr>
                    <w:pStyle w:val="10"/>
                    <w:tabs>
                      <w:tab w:val="left" w:pos="3500"/>
                    </w:tabs>
                    <w:kinsoku w:val="0"/>
                    <w:overflowPunct w:val="0"/>
                    <w:spacing w:line="312" w:lineRule="exact"/>
                    <w:rPr>
                      <w:rFonts w:hint="eastAsia" w:asciiTheme="minorEastAsia" w:hAnsiTheme="minorEastAsia" w:eastAsiaTheme="minorEastAsia" w:cstheme="minorEastAsia"/>
                      <w:kern w:val="2"/>
                      <w:vertAlign w:val="baseline"/>
                      <w:lang w:val="en-US" w:eastAsia="zh-CN"/>
                    </w:rPr>
                  </w:pPr>
                  <w:r>
                    <w:rPr>
                      <w:rFonts w:hint="eastAsia" w:asciiTheme="minorEastAsia" w:hAnsiTheme="minorEastAsia" w:eastAsiaTheme="minorEastAsia" w:cstheme="minorEastAsia"/>
                      <w:kern w:val="2"/>
                      <w:vertAlign w:val="baseline"/>
                      <w:lang w:val="en-US" w:eastAsia="zh-CN"/>
                    </w:rPr>
                    <w:t>900-013-11</w:t>
                  </w:r>
                </w:p>
              </w:tc>
              <w:tc>
                <w:tcPr>
                  <w:tcW w:w="1481" w:type="dxa"/>
                  <w:vAlign w:val="center"/>
                </w:tcPr>
                <w:p>
                  <w:pPr>
                    <w:pStyle w:val="10"/>
                    <w:tabs>
                      <w:tab w:val="left" w:pos="3500"/>
                    </w:tabs>
                    <w:kinsoku w:val="0"/>
                    <w:overflowPunct w:val="0"/>
                    <w:spacing w:line="312" w:lineRule="exact"/>
                    <w:rPr>
                      <w:rFonts w:hint="eastAsia" w:asciiTheme="minorEastAsia" w:hAnsiTheme="minorEastAsia" w:eastAsiaTheme="minorEastAsia" w:cstheme="minorEastAsia"/>
                      <w:kern w:val="2"/>
                      <w:vertAlign w:val="baseline"/>
                      <w:lang w:val="en-US" w:eastAsia="zh-CN"/>
                    </w:rPr>
                  </w:pPr>
                  <w:r>
                    <w:rPr>
                      <w:rFonts w:hint="eastAsia" w:asciiTheme="minorEastAsia" w:hAnsiTheme="minorEastAsia" w:eastAsiaTheme="minorEastAsia" w:cstheme="minorEastAsia"/>
                      <w:kern w:val="2"/>
                      <w:vertAlign w:val="baseline"/>
                      <w:lang w:val="en-US" w:eastAsia="zh-CN"/>
                    </w:rPr>
                    <w:t>300</w:t>
                  </w:r>
                </w:p>
              </w:tc>
              <w:tc>
                <w:tcPr>
                  <w:tcW w:w="1481" w:type="dxa"/>
                  <w:vAlign w:val="center"/>
                </w:tcPr>
                <w:p>
                  <w:pPr>
                    <w:pStyle w:val="10"/>
                    <w:tabs>
                      <w:tab w:val="left" w:pos="3500"/>
                    </w:tabs>
                    <w:kinsoku w:val="0"/>
                    <w:overflowPunct w:val="0"/>
                    <w:spacing w:line="312" w:lineRule="exact"/>
                    <w:rPr>
                      <w:rFonts w:hint="eastAsia" w:asciiTheme="minorEastAsia" w:hAnsiTheme="minorEastAsia" w:eastAsiaTheme="minorEastAsia" w:cstheme="minorEastAsia"/>
                      <w:kern w:val="2"/>
                      <w:vertAlign w:val="baseline"/>
                      <w:lang w:val="en-US" w:eastAsia="zh-CN"/>
                    </w:rPr>
                  </w:pPr>
                  <w:r>
                    <w:rPr>
                      <w:rFonts w:hint="eastAsia" w:asciiTheme="minorEastAsia" w:hAnsiTheme="minorEastAsia" w:eastAsiaTheme="minorEastAsia" w:cstheme="minorEastAsia"/>
                      <w:kern w:val="2"/>
                      <w:vertAlign w:val="baseline"/>
                      <w:lang w:val="en-US" w:eastAsia="zh-CN"/>
                    </w:rPr>
                    <w:t/>
                  </w:r>
                </w:p>
              </w:tc>
              <w:tc>
                <w:tcPr>
                  <w:tcW w:w="1481" w:type="dxa"/>
                  <w:vAlign w:val="center"/>
                </w:tcPr>
                <w:p>
                  <w:pPr>
                    <w:pStyle w:val="10"/>
                    <w:tabs>
                      <w:tab w:val="left" w:pos="3500"/>
                    </w:tabs>
                    <w:kinsoku w:val="0"/>
                    <w:overflowPunct w:val="0"/>
                    <w:spacing w:line="312" w:lineRule="exact"/>
                    <w:rPr>
                      <w:rFonts w:hint="eastAsia" w:asciiTheme="minorEastAsia" w:hAnsiTheme="minorEastAsia" w:eastAsiaTheme="minorEastAsia" w:cstheme="minorEastAsia"/>
                      <w:kern w:val="2"/>
                      <w:vertAlign w:val="baseline"/>
                      <w:lang w:val="en-US" w:eastAsia="zh-CN"/>
                    </w:rPr>
                  </w:pPr>
                  <w:r>
                    <w:rPr>
                      <w:rFonts w:hint="eastAsia" w:asciiTheme="minorEastAsia" w:hAnsiTheme="minorEastAsia" w:eastAsiaTheme="minorEastAsia" w:cstheme="minorEastAsia"/>
                      <w:kern w:val="2"/>
                      <w:vertAlign w:val="baseline"/>
                      <w:lang w:val="en-US" w:eastAsia="zh-CN"/>
                    </w:rPr>
                    <w:t>委托利用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480" w:type="dxa"/>
                  <w:tcBorders>
                    <w:left w:val="nil"/>
                  </w:tcBorders>
                  <w:vAlign w:val="center"/>
                </w:tcPr>
                <w:p>
                  <w:pPr>
                    <w:pStyle w:val="10"/>
                    <w:tabs>
                      <w:tab w:val="left" w:pos="3500"/>
                    </w:tabs>
                    <w:kinsoku w:val="0"/>
                    <w:overflowPunct w:val="0"/>
                    <w:spacing w:line="312" w:lineRule="exact"/>
                    <w:rPr>
                      <w:rFonts w:hint="eastAsia" w:asciiTheme="minorEastAsia" w:hAnsiTheme="minorEastAsia" w:eastAsiaTheme="minorEastAsia" w:cstheme="minorEastAsia"/>
                      <w:kern w:val="2"/>
                      <w:vertAlign w:val="baseline"/>
                      <w:lang w:val="en-US" w:eastAsia="zh-CN"/>
                    </w:rPr>
                  </w:pPr>
                  <w:r>
                    <w:rPr>
                      <w:rFonts w:hint="eastAsia" w:asciiTheme="minorEastAsia" w:hAnsiTheme="minorEastAsia" w:eastAsiaTheme="minorEastAsia" w:cstheme="minorEastAsia"/>
                      <w:kern w:val="2"/>
                      <w:vertAlign w:val="baseline"/>
                      <w:lang w:val="en-US" w:eastAsia="zh-CN"/>
                    </w:rPr>
                    <w:t>12</w:t>
                  </w:r>
                </w:p>
              </w:tc>
              <w:tc>
                <w:tcPr>
                  <w:tcW w:w="1480" w:type="dxa"/>
                  <w:vAlign w:val="center"/>
                </w:tcPr>
                <w:p>
                  <w:pPr>
                    <w:pStyle w:val="10"/>
                    <w:tabs>
                      <w:tab w:val="left" w:pos="3500"/>
                    </w:tabs>
                    <w:kinsoku w:val="0"/>
                    <w:overflowPunct w:val="0"/>
                    <w:spacing w:line="312" w:lineRule="exact"/>
                    <w:rPr>
                      <w:rFonts w:hint="eastAsia" w:asciiTheme="minorEastAsia" w:hAnsiTheme="minorEastAsia" w:eastAsiaTheme="minorEastAsia" w:cstheme="minorEastAsia"/>
                      <w:kern w:val="2"/>
                      <w:vertAlign w:val="baseline"/>
                      <w:lang w:val="en-US" w:eastAsia="zh-CN"/>
                    </w:rPr>
                  </w:pPr>
                  <w:r>
                    <w:rPr>
                      <w:rFonts w:hint="eastAsia" w:asciiTheme="minorEastAsia" w:hAnsiTheme="minorEastAsia" w:eastAsiaTheme="minorEastAsia" w:cstheme="minorEastAsia"/>
                      <w:kern w:val="2"/>
                      <w:vertAlign w:val="baseline"/>
                      <w:lang w:val="en-US" w:eastAsia="zh-CN"/>
                    </w:rPr>
                    <w:t>废包装物</w:t>
                  </w:r>
                </w:p>
              </w:tc>
              <w:tc>
                <w:tcPr>
                  <w:tcW w:w="1480" w:type="dxa"/>
                  <w:vAlign w:val="center"/>
                </w:tcPr>
                <w:p>
                  <w:pPr>
                    <w:pStyle w:val="10"/>
                    <w:tabs>
                      <w:tab w:val="left" w:pos="3500"/>
                    </w:tabs>
                    <w:kinsoku w:val="0"/>
                    <w:overflowPunct w:val="0"/>
                    <w:spacing w:line="312" w:lineRule="exact"/>
                    <w:rPr>
                      <w:rFonts w:hint="eastAsia" w:asciiTheme="minorEastAsia" w:hAnsiTheme="minorEastAsia" w:eastAsiaTheme="minorEastAsia" w:cstheme="minorEastAsia"/>
                      <w:kern w:val="2"/>
                      <w:vertAlign w:val="baseline"/>
                      <w:lang w:val="en-US" w:eastAsia="zh-CN"/>
                    </w:rPr>
                  </w:pPr>
                  <w:r>
                    <w:rPr>
                      <w:rFonts w:hint="eastAsia" w:asciiTheme="minorEastAsia" w:hAnsiTheme="minorEastAsia" w:eastAsiaTheme="minorEastAsia" w:cstheme="minorEastAsia"/>
                      <w:kern w:val="2"/>
                      <w:vertAlign w:val="baseline"/>
                      <w:lang w:val="en-US" w:eastAsia="zh-CN"/>
                    </w:rPr>
                    <w:t>900-041-49</w:t>
                  </w:r>
                </w:p>
              </w:tc>
              <w:tc>
                <w:tcPr>
                  <w:tcW w:w="1481" w:type="dxa"/>
                  <w:vAlign w:val="center"/>
                </w:tcPr>
                <w:p>
                  <w:pPr>
                    <w:pStyle w:val="10"/>
                    <w:tabs>
                      <w:tab w:val="left" w:pos="3500"/>
                    </w:tabs>
                    <w:kinsoku w:val="0"/>
                    <w:overflowPunct w:val="0"/>
                    <w:spacing w:line="312" w:lineRule="exact"/>
                    <w:rPr>
                      <w:rFonts w:hint="eastAsia" w:asciiTheme="minorEastAsia" w:hAnsiTheme="minorEastAsia" w:eastAsiaTheme="minorEastAsia" w:cstheme="minorEastAsia"/>
                      <w:kern w:val="2"/>
                      <w:vertAlign w:val="baseline"/>
                      <w:lang w:val="en-US" w:eastAsia="zh-CN"/>
                    </w:rPr>
                  </w:pPr>
                  <w:r>
                    <w:rPr>
                      <w:rFonts w:hint="eastAsia" w:asciiTheme="minorEastAsia" w:hAnsiTheme="minorEastAsia" w:eastAsiaTheme="minorEastAsia" w:cstheme="minorEastAsia"/>
                      <w:kern w:val="2"/>
                      <w:vertAlign w:val="baseline"/>
                      <w:lang w:val="en-US" w:eastAsia="zh-CN"/>
                    </w:rPr>
                    <w:t>100</w:t>
                  </w:r>
                </w:p>
              </w:tc>
              <w:tc>
                <w:tcPr>
                  <w:tcW w:w="1481" w:type="dxa"/>
                  <w:vAlign w:val="center"/>
                </w:tcPr>
                <w:p>
                  <w:pPr>
                    <w:pStyle w:val="10"/>
                    <w:tabs>
                      <w:tab w:val="left" w:pos="3500"/>
                    </w:tabs>
                    <w:kinsoku w:val="0"/>
                    <w:overflowPunct w:val="0"/>
                    <w:spacing w:line="312" w:lineRule="exact"/>
                    <w:rPr>
                      <w:rFonts w:hint="eastAsia" w:asciiTheme="minorEastAsia" w:hAnsiTheme="minorEastAsia" w:eastAsiaTheme="minorEastAsia" w:cstheme="minorEastAsia"/>
                      <w:kern w:val="2"/>
                      <w:vertAlign w:val="baseline"/>
                      <w:lang w:val="en-US" w:eastAsia="zh-CN"/>
                    </w:rPr>
                  </w:pPr>
                  <w:r>
                    <w:rPr>
                      <w:rFonts w:hint="eastAsia" w:asciiTheme="minorEastAsia" w:hAnsiTheme="minorEastAsia" w:eastAsiaTheme="minorEastAsia" w:cstheme="minorEastAsia"/>
                      <w:kern w:val="2"/>
                      <w:vertAlign w:val="baseline"/>
                      <w:lang w:val="en-US" w:eastAsia="zh-CN"/>
                    </w:rPr>
                    <w:t/>
                  </w:r>
                </w:p>
              </w:tc>
              <w:tc>
                <w:tcPr>
                  <w:tcW w:w="1481" w:type="dxa"/>
                  <w:vAlign w:val="center"/>
                </w:tcPr>
                <w:p>
                  <w:pPr>
                    <w:pStyle w:val="10"/>
                    <w:tabs>
                      <w:tab w:val="left" w:pos="3500"/>
                    </w:tabs>
                    <w:kinsoku w:val="0"/>
                    <w:overflowPunct w:val="0"/>
                    <w:spacing w:line="312" w:lineRule="exact"/>
                    <w:rPr>
                      <w:rFonts w:hint="eastAsia" w:asciiTheme="minorEastAsia" w:hAnsiTheme="minorEastAsia" w:eastAsiaTheme="minorEastAsia" w:cstheme="minorEastAsia"/>
                      <w:kern w:val="2"/>
                      <w:vertAlign w:val="baseline"/>
                      <w:lang w:val="en-US" w:eastAsia="zh-CN"/>
                    </w:rPr>
                  </w:pPr>
                  <w:r>
                    <w:rPr>
                      <w:rFonts w:hint="eastAsia" w:asciiTheme="minorEastAsia" w:hAnsiTheme="minorEastAsia" w:eastAsiaTheme="minorEastAsia" w:cstheme="minorEastAsia"/>
                      <w:kern w:val="2"/>
                      <w:vertAlign w:val="baseline"/>
                      <w:lang w:val="en-US" w:eastAsia="zh-CN"/>
                    </w:rPr>
                    <w:t>委托处置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480" w:type="dxa"/>
                  <w:tcBorders>
                    <w:left w:val="nil"/>
                  </w:tcBorders>
                  <w:vAlign w:val="center"/>
                </w:tcPr>
                <w:p>
                  <w:pPr>
                    <w:pStyle w:val="10"/>
                    <w:tabs>
                      <w:tab w:val="left" w:pos="3500"/>
                    </w:tabs>
                    <w:kinsoku w:val="0"/>
                    <w:overflowPunct w:val="0"/>
                    <w:spacing w:line="312" w:lineRule="exact"/>
                    <w:rPr>
                      <w:rFonts w:hint="eastAsia" w:asciiTheme="minorEastAsia" w:hAnsiTheme="minorEastAsia" w:eastAsiaTheme="minorEastAsia" w:cstheme="minorEastAsia"/>
                      <w:kern w:val="2"/>
                      <w:vertAlign w:val="baseline"/>
                      <w:lang w:val="en-US" w:eastAsia="zh-CN"/>
                    </w:rPr>
                  </w:pPr>
                  <w:r>
                    <w:rPr>
                      <w:rFonts w:hint="eastAsia" w:asciiTheme="minorEastAsia" w:hAnsiTheme="minorEastAsia" w:eastAsiaTheme="minorEastAsia" w:cstheme="minorEastAsia"/>
                      <w:kern w:val="2"/>
                      <w:vertAlign w:val="baseline"/>
                      <w:lang w:val="en-US" w:eastAsia="zh-CN"/>
                    </w:rPr>
                    <w:t>13</w:t>
                  </w:r>
                </w:p>
              </w:tc>
              <w:tc>
                <w:tcPr>
                  <w:tcW w:w="1480" w:type="dxa"/>
                  <w:vAlign w:val="center"/>
                </w:tcPr>
                <w:p>
                  <w:pPr>
                    <w:pStyle w:val="10"/>
                    <w:tabs>
                      <w:tab w:val="left" w:pos="3500"/>
                    </w:tabs>
                    <w:kinsoku w:val="0"/>
                    <w:overflowPunct w:val="0"/>
                    <w:spacing w:line="312" w:lineRule="exact"/>
                    <w:rPr>
                      <w:rFonts w:hint="eastAsia" w:asciiTheme="minorEastAsia" w:hAnsiTheme="minorEastAsia" w:eastAsiaTheme="minorEastAsia" w:cstheme="minorEastAsia"/>
                      <w:kern w:val="2"/>
                      <w:vertAlign w:val="baseline"/>
                      <w:lang w:val="en-US" w:eastAsia="zh-CN"/>
                    </w:rPr>
                  </w:pPr>
                  <w:r>
                    <w:rPr>
                      <w:rFonts w:hint="eastAsia" w:asciiTheme="minorEastAsia" w:hAnsiTheme="minorEastAsia" w:eastAsiaTheme="minorEastAsia" w:cstheme="minorEastAsia"/>
                      <w:kern w:val="2"/>
                      <w:vertAlign w:val="baseline"/>
                      <w:lang w:val="en-US" w:eastAsia="zh-CN"/>
                    </w:rPr>
                    <w:t>废焦油</w:t>
                  </w:r>
                </w:p>
              </w:tc>
              <w:tc>
                <w:tcPr>
                  <w:tcW w:w="1480" w:type="dxa"/>
                  <w:vAlign w:val="center"/>
                </w:tcPr>
                <w:p>
                  <w:pPr>
                    <w:pStyle w:val="10"/>
                    <w:tabs>
                      <w:tab w:val="left" w:pos="3500"/>
                    </w:tabs>
                    <w:kinsoku w:val="0"/>
                    <w:overflowPunct w:val="0"/>
                    <w:spacing w:line="312" w:lineRule="exact"/>
                    <w:rPr>
                      <w:rFonts w:hint="eastAsia" w:asciiTheme="minorEastAsia" w:hAnsiTheme="minorEastAsia" w:eastAsiaTheme="minorEastAsia" w:cstheme="minorEastAsia"/>
                      <w:kern w:val="2"/>
                      <w:vertAlign w:val="baseline"/>
                      <w:lang w:val="en-US" w:eastAsia="zh-CN"/>
                    </w:rPr>
                  </w:pPr>
                  <w:r>
                    <w:rPr>
                      <w:rFonts w:hint="eastAsia" w:asciiTheme="minorEastAsia" w:hAnsiTheme="minorEastAsia" w:eastAsiaTheme="minorEastAsia" w:cstheme="minorEastAsia"/>
                      <w:kern w:val="2"/>
                      <w:vertAlign w:val="baseline"/>
                      <w:lang w:val="en-US" w:eastAsia="zh-CN"/>
                    </w:rPr>
                    <w:t>900-013-11</w:t>
                  </w:r>
                </w:p>
              </w:tc>
              <w:tc>
                <w:tcPr>
                  <w:tcW w:w="1481" w:type="dxa"/>
                  <w:vAlign w:val="center"/>
                </w:tcPr>
                <w:p>
                  <w:pPr>
                    <w:pStyle w:val="10"/>
                    <w:tabs>
                      <w:tab w:val="left" w:pos="3500"/>
                    </w:tabs>
                    <w:kinsoku w:val="0"/>
                    <w:overflowPunct w:val="0"/>
                    <w:spacing w:line="312" w:lineRule="exact"/>
                    <w:rPr>
                      <w:rFonts w:hint="eastAsia" w:asciiTheme="minorEastAsia" w:hAnsiTheme="minorEastAsia" w:eastAsiaTheme="minorEastAsia" w:cstheme="minorEastAsia"/>
                      <w:kern w:val="2"/>
                      <w:vertAlign w:val="baseline"/>
                      <w:lang w:val="en-US" w:eastAsia="zh-CN"/>
                    </w:rPr>
                  </w:pPr>
                  <w:r>
                    <w:rPr>
                      <w:rFonts w:hint="eastAsia" w:asciiTheme="minorEastAsia" w:hAnsiTheme="minorEastAsia" w:eastAsiaTheme="minorEastAsia" w:cstheme="minorEastAsia"/>
                      <w:kern w:val="2"/>
                      <w:vertAlign w:val="baseline"/>
                      <w:lang w:val="en-US" w:eastAsia="zh-CN"/>
                    </w:rPr>
                    <w:t>400</w:t>
                  </w:r>
                </w:p>
              </w:tc>
              <w:tc>
                <w:tcPr>
                  <w:tcW w:w="1481" w:type="dxa"/>
                  <w:vAlign w:val="center"/>
                </w:tcPr>
                <w:p>
                  <w:pPr>
                    <w:pStyle w:val="10"/>
                    <w:tabs>
                      <w:tab w:val="left" w:pos="3500"/>
                    </w:tabs>
                    <w:kinsoku w:val="0"/>
                    <w:overflowPunct w:val="0"/>
                    <w:spacing w:line="312" w:lineRule="exact"/>
                    <w:rPr>
                      <w:rFonts w:hint="eastAsia" w:asciiTheme="minorEastAsia" w:hAnsiTheme="minorEastAsia" w:eastAsiaTheme="minorEastAsia" w:cstheme="minorEastAsia"/>
                      <w:kern w:val="2"/>
                      <w:vertAlign w:val="baseline"/>
                      <w:lang w:val="en-US" w:eastAsia="zh-CN"/>
                    </w:rPr>
                  </w:pPr>
                  <w:r>
                    <w:rPr>
                      <w:rFonts w:hint="eastAsia" w:asciiTheme="minorEastAsia" w:hAnsiTheme="minorEastAsia" w:eastAsiaTheme="minorEastAsia" w:cstheme="minorEastAsia"/>
                      <w:kern w:val="2"/>
                      <w:vertAlign w:val="baseline"/>
                      <w:lang w:val="en-US" w:eastAsia="zh-CN"/>
                    </w:rPr>
                    <w:t/>
                  </w:r>
                </w:p>
              </w:tc>
              <w:tc>
                <w:tcPr>
                  <w:tcW w:w="1481" w:type="dxa"/>
                  <w:vAlign w:val="center"/>
                </w:tcPr>
                <w:p>
                  <w:pPr>
                    <w:pStyle w:val="10"/>
                    <w:tabs>
                      <w:tab w:val="left" w:pos="3500"/>
                    </w:tabs>
                    <w:kinsoku w:val="0"/>
                    <w:overflowPunct w:val="0"/>
                    <w:spacing w:line="312" w:lineRule="exact"/>
                    <w:rPr>
                      <w:rFonts w:hint="eastAsia" w:asciiTheme="minorEastAsia" w:hAnsiTheme="minorEastAsia" w:eastAsiaTheme="minorEastAsia" w:cstheme="minorEastAsia"/>
                      <w:kern w:val="2"/>
                      <w:vertAlign w:val="baseline"/>
                      <w:lang w:val="en-US" w:eastAsia="zh-CN"/>
                    </w:rPr>
                  </w:pPr>
                  <w:r>
                    <w:rPr>
                      <w:rFonts w:hint="eastAsia" w:asciiTheme="minorEastAsia" w:hAnsiTheme="minorEastAsia" w:eastAsiaTheme="minorEastAsia" w:cstheme="minorEastAsia"/>
                      <w:kern w:val="2"/>
                      <w:vertAlign w:val="baseline"/>
                      <w:lang w:val="en-US" w:eastAsia="zh-CN"/>
                    </w:rPr>
                    <w:t>委托利用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480" w:type="dxa"/>
                  <w:tcBorders>
                    <w:left w:val="nil"/>
                  </w:tcBorders>
                  <w:vAlign w:val="center"/>
                </w:tcPr>
                <w:p>
                  <w:pPr>
                    <w:pStyle w:val="10"/>
                    <w:tabs>
                      <w:tab w:val="left" w:pos="3500"/>
                    </w:tabs>
                    <w:kinsoku w:val="0"/>
                    <w:overflowPunct w:val="0"/>
                    <w:spacing w:line="312" w:lineRule="exact"/>
                    <w:rPr>
                      <w:rFonts w:hint="eastAsia" w:asciiTheme="minorEastAsia" w:hAnsiTheme="minorEastAsia" w:eastAsiaTheme="minorEastAsia" w:cstheme="minorEastAsia"/>
                      <w:kern w:val="2"/>
                      <w:vertAlign w:val="baseline"/>
                      <w:lang w:val="en-US" w:eastAsia="zh-CN"/>
                    </w:rPr>
                  </w:pPr>
                  <w:r>
                    <w:rPr>
                      <w:rFonts w:hint="eastAsia" w:asciiTheme="minorEastAsia" w:hAnsiTheme="minorEastAsia" w:eastAsiaTheme="minorEastAsia" w:cstheme="minorEastAsia"/>
                      <w:kern w:val="2"/>
                      <w:vertAlign w:val="baseline"/>
                      <w:lang w:val="en-US" w:eastAsia="zh-CN"/>
                    </w:rPr>
                    <w:t>14</w:t>
                  </w:r>
                </w:p>
              </w:tc>
              <w:tc>
                <w:tcPr>
                  <w:tcW w:w="1480" w:type="dxa"/>
                  <w:vAlign w:val="center"/>
                </w:tcPr>
                <w:p>
                  <w:pPr>
                    <w:pStyle w:val="10"/>
                    <w:tabs>
                      <w:tab w:val="left" w:pos="3500"/>
                    </w:tabs>
                    <w:kinsoku w:val="0"/>
                    <w:overflowPunct w:val="0"/>
                    <w:spacing w:line="312" w:lineRule="exact"/>
                    <w:rPr>
                      <w:rFonts w:hint="eastAsia" w:asciiTheme="minorEastAsia" w:hAnsiTheme="minorEastAsia" w:eastAsiaTheme="minorEastAsia" w:cstheme="minorEastAsia"/>
                      <w:kern w:val="2"/>
                      <w:vertAlign w:val="baseline"/>
                      <w:lang w:val="en-US" w:eastAsia="zh-CN"/>
                    </w:rPr>
                  </w:pPr>
                  <w:r>
                    <w:rPr>
                      <w:rFonts w:hint="eastAsia" w:asciiTheme="minorEastAsia" w:hAnsiTheme="minorEastAsia" w:eastAsiaTheme="minorEastAsia" w:cstheme="minorEastAsia"/>
                      <w:kern w:val="2"/>
                      <w:vertAlign w:val="baseline"/>
                      <w:lang w:val="en-US" w:eastAsia="zh-CN"/>
                    </w:rPr>
                    <w:t>废硫酸</w:t>
                  </w:r>
                </w:p>
              </w:tc>
              <w:tc>
                <w:tcPr>
                  <w:tcW w:w="1480" w:type="dxa"/>
                  <w:vAlign w:val="center"/>
                </w:tcPr>
                <w:p>
                  <w:pPr>
                    <w:pStyle w:val="10"/>
                    <w:tabs>
                      <w:tab w:val="left" w:pos="3500"/>
                    </w:tabs>
                    <w:kinsoku w:val="0"/>
                    <w:overflowPunct w:val="0"/>
                    <w:spacing w:line="312" w:lineRule="exact"/>
                    <w:rPr>
                      <w:rFonts w:hint="eastAsia" w:asciiTheme="minorEastAsia" w:hAnsiTheme="minorEastAsia" w:eastAsiaTheme="minorEastAsia" w:cstheme="minorEastAsia"/>
                      <w:kern w:val="2"/>
                      <w:vertAlign w:val="baseline"/>
                      <w:lang w:val="en-US" w:eastAsia="zh-CN"/>
                    </w:rPr>
                  </w:pPr>
                  <w:r>
                    <w:rPr>
                      <w:rFonts w:hint="eastAsia" w:asciiTheme="minorEastAsia" w:hAnsiTheme="minorEastAsia" w:eastAsiaTheme="minorEastAsia" w:cstheme="minorEastAsia"/>
                      <w:kern w:val="2"/>
                      <w:vertAlign w:val="baseline"/>
                      <w:lang w:val="en-US" w:eastAsia="zh-CN"/>
                    </w:rPr>
                    <w:t>261-058-34</w:t>
                  </w:r>
                </w:p>
              </w:tc>
              <w:tc>
                <w:tcPr>
                  <w:tcW w:w="1481" w:type="dxa"/>
                  <w:vAlign w:val="center"/>
                </w:tcPr>
                <w:p>
                  <w:pPr>
                    <w:pStyle w:val="10"/>
                    <w:tabs>
                      <w:tab w:val="left" w:pos="3500"/>
                    </w:tabs>
                    <w:kinsoku w:val="0"/>
                    <w:overflowPunct w:val="0"/>
                    <w:spacing w:line="312" w:lineRule="exact"/>
                    <w:rPr>
                      <w:rFonts w:hint="eastAsia" w:asciiTheme="minorEastAsia" w:hAnsiTheme="minorEastAsia" w:eastAsiaTheme="minorEastAsia" w:cstheme="minorEastAsia"/>
                      <w:kern w:val="2"/>
                      <w:vertAlign w:val="baseline"/>
                      <w:lang w:val="en-US" w:eastAsia="zh-CN"/>
                    </w:rPr>
                  </w:pPr>
                  <w:r>
                    <w:rPr>
                      <w:rFonts w:hint="eastAsia" w:asciiTheme="minorEastAsia" w:hAnsiTheme="minorEastAsia" w:eastAsiaTheme="minorEastAsia" w:cstheme="minorEastAsia"/>
                      <w:kern w:val="2"/>
                      <w:vertAlign w:val="baseline"/>
                      <w:lang w:val="en-US" w:eastAsia="zh-CN"/>
                    </w:rPr>
                    <w:t>4500</w:t>
                  </w:r>
                </w:p>
              </w:tc>
              <w:tc>
                <w:tcPr>
                  <w:tcW w:w="1481" w:type="dxa"/>
                  <w:vAlign w:val="center"/>
                </w:tcPr>
                <w:p>
                  <w:pPr>
                    <w:pStyle w:val="10"/>
                    <w:tabs>
                      <w:tab w:val="left" w:pos="3500"/>
                    </w:tabs>
                    <w:kinsoku w:val="0"/>
                    <w:overflowPunct w:val="0"/>
                    <w:spacing w:line="312" w:lineRule="exact"/>
                    <w:rPr>
                      <w:rFonts w:hint="eastAsia" w:asciiTheme="minorEastAsia" w:hAnsiTheme="minorEastAsia" w:eastAsiaTheme="minorEastAsia" w:cstheme="minorEastAsia"/>
                      <w:kern w:val="2"/>
                      <w:vertAlign w:val="baseline"/>
                      <w:lang w:val="en-US" w:eastAsia="zh-CN"/>
                    </w:rPr>
                  </w:pPr>
                  <w:r>
                    <w:rPr>
                      <w:rFonts w:hint="eastAsia" w:asciiTheme="minorEastAsia" w:hAnsiTheme="minorEastAsia" w:eastAsiaTheme="minorEastAsia" w:cstheme="minorEastAsia"/>
                      <w:kern w:val="2"/>
                      <w:vertAlign w:val="baseline"/>
                      <w:lang w:val="en-US" w:eastAsia="zh-CN"/>
                    </w:rPr>
                    <w:t/>
                  </w:r>
                </w:p>
              </w:tc>
              <w:tc>
                <w:tcPr>
                  <w:tcW w:w="1481" w:type="dxa"/>
                  <w:vAlign w:val="center"/>
                </w:tcPr>
                <w:p>
                  <w:pPr>
                    <w:pStyle w:val="10"/>
                    <w:tabs>
                      <w:tab w:val="left" w:pos="3500"/>
                    </w:tabs>
                    <w:kinsoku w:val="0"/>
                    <w:overflowPunct w:val="0"/>
                    <w:spacing w:line="312" w:lineRule="exact"/>
                    <w:rPr>
                      <w:rFonts w:hint="eastAsia" w:asciiTheme="minorEastAsia" w:hAnsiTheme="minorEastAsia" w:eastAsiaTheme="minorEastAsia" w:cstheme="minorEastAsia"/>
                      <w:kern w:val="2"/>
                      <w:vertAlign w:val="baseline"/>
                      <w:lang w:val="en-US" w:eastAsia="zh-CN"/>
                    </w:rPr>
                  </w:pPr>
                  <w:r>
                    <w:rPr>
                      <w:rFonts w:hint="eastAsia" w:asciiTheme="minorEastAsia" w:hAnsiTheme="minorEastAsia" w:eastAsiaTheme="minorEastAsia" w:cstheme="minorEastAsia"/>
                      <w:kern w:val="2"/>
                      <w:vertAlign w:val="baseline"/>
                      <w:lang w:val="en-US" w:eastAsia="zh-CN"/>
                    </w:rPr>
                    <w:t>委托利用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480" w:type="dxa"/>
                  <w:tcBorders>
                    <w:left w:val="nil"/>
                  </w:tcBorders>
                  <w:vAlign w:val="center"/>
                </w:tcPr>
                <w:p>
                  <w:pPr>
                    <w:pStyle w:val="10"/>
                    <w:tabs>
                      <w:tab w:val="left" w:pos="3500"/>
                    </w:tabs>
                    <w:kinsoku w:val="0"/>
                    <w:overflowPunct w:val="0"/>
                    <w:spacing w:line="312" w:lineRule="exact"/>
                    <w:rPr>
                      <w:rFonts w:hint="eastAsia" w:asciiTheme="minorEastAsia" w:hAnsiTheme="minorEastAsia" w:eastAsiaTheme="minorEastAsia" w:cstheme="minorEastAsia"/>
                      <w:kern w:val="2"/>
                      <w:vertAlign w:val="baseline"/>
                      <w:lang w:val="en-US" w:eastAsia="zh-CN"/>
                    </w:rPr>
                  </w:pPr>
                  <w:r>
                    <w:rPr>
                      <w:rFonts w:hint="eastAsia" w:asciiTheme="minorEastAsia" w:hAnsiTheme="minorEastAsia" w:eastAsiaTheme="minorEastAsia" w:cstheme="minorEastAsia"/>
                      <w:kern w:val="2"/>
                      <w:vertAlign w:val="baseline"/>
                      <w:lang w:val="en-US" w:eastAsia="zh-CN"/>
                    </w:rPr>
                    <w:t>15</w:t>
                  </w:r>
                </w:p>
              </w:tc>
              <w:tc>
                <w:tcPr>
                  <w:tcW w:w="1480" w:type="dxa"/>
                  <w:vAlign w:val="center"/>
                </w:tcPr>
                <w:p>
                  <w:pPr>
                    <w:pStyle w:val="10"/>
                    <w:tabs>
                      <w:tab w:val="left" w:pos="3500"/>
                    </w:tabs>
                    <w:kinsoku w:val="0"/>
                    <w:overflowPunct w:val="0"/>
                    <w:spacing w:line="312" w:lineRule="exact"/>
                    <w:rPr>
                      <w:rFonts w:hint="eastAsia" w:asciiTheme="minorEastAsia" w:hAnsiTheme="minorEastAsia" w:eastAsiaTheme="minorEastAsia" w:cstheme="minorEastAsia"/>
                      <w:kern w:val="2"/>
                      <w:vertAlign w:val="baseline"/>
                      <w:lang w:val="en-US" w:eastAsia="zh-CN"/>
                    </w:rPr>
                  </w:pPr>
                  <w:r>
                    <w:rPr>
                      <w:rFonts w:hint="eastAsia" w:asciiTheme="minorEastAsia" w:hAnsiTheme="minorEastAsia" w:eastAsiaTheme="minorEastAsia" w:cstheme="minorEastAsia"/>
                      <w:kern w:val="2"/>
                      <w:vertAlign w:val="baseline"/>
                      <w:lang w:val="en-US" w:eastAsia="zh-CN"/>
                    </w:rPr>
                    <w:t>压滤固废</w:t>
                  </w:r>
                </w:p>
              </w:tc>
              <w:tc>
                <w:tcPr>
                  <w:tcW w:w="1480" w:type="dxa"/>
                  <w:vAlign w:val="center"/>
                </w:tcPr>
                <w:p>
                  <w:pPr>
                    <w:pStyle w:val="10"/>
                    <w:tabs>
                      <w:tab w:val="left" w:pos="3500"/>
                    </w:tabs>
                    <w:kinsoku w:val="0"/>
                    <w:overflowPunct w:val="0"/>
                    <w:spacing w:line="312" w:lineRule="exact"/>
                    <w:rPr>
                      <w:rFonts w:hint="eastAsia" w:asciiTheme="minorEastAsia" w:hAnsiTheme="minorEastAsia" w:eastAsiaTheme="minorEastAsia" w:cstheme="minorEastAsia"/>
                      <w:kern w:val="2"/>
                      <w:vertAlign w:val="baseline"/>
                      <w:lang w:val="en-US" w:eastAsia="zh-CN"/>
                    </w:rPr>
                  </w:pPr>
                  <w:r>
                    <w:rPr>
                      <w:rFonts w:hint="eastAsia" w:asciiTheme="minorEastAsia" w:hAnsiTheme="minorEastAsia" w:eastAsiaTheme="minorEastAsia" w:cstheme="minorEastAsia"/>
                      <w:kern w:val="2"/>
                      <w:vertAlign w:val="baseline"/>
                      <w:lang w:val="en-US" w:eastAsia="zh-CN"/>
                    </w:rPr>
                    <w:t>261-152-50</w:t>
                  </w:r>
                </w:p>
              </w:tc>
              <w:tc>
                <w:tcPr>
                  <w:tcW w:w="1481" w:type="dxa"/>
                  <w:vAlign w:val="center"/>
                </w:tcPr>
                <w:p>
                  <w:pPr>
                    <w:pStyle w:val="10"/>
                    <w:tabs>
                      <w:tab w:val="left" w:pos="3500"/>
                    </w:tabs>
                    <w:kinsoku w:val="0"/>
                    <w:overflowPunct w:val="0"/>
                    <w:spacing w:line="312" w:lineRule="exact"/>
                    <w:rPr>
                      <w:rFonts w:hint="eastAsia" w:asciiTheme="minorEastAsia" w:hAnsiTheme="minorEastAsia" w:eastAsiaTheme="minorEastAsia" w:cstheme="minorEastAsia"/>
                      <w:kern w:val="2"/>
                      <w:vertAlign w:val="baseline"/>
                      <w:lang w:val="en-US" w:eastAsia="zh-CN"/>
                    </w:rPr>
                  </w:pPr>
                  <w:r>
                    <w:rPr>
                      <w:rFonts w:hint="eastAsia" w:asciiTheme="minorEastAsia" w:hAnsiTheme="minorEastAsia" w:eastAsiaTheme="minorEastAsia" w:cstheme="minorEastAsia"/>
                      <w:kern w:val="2"/>
                      <w:vertAlign w:val="baseline"/>
                      <w:lang w:val="en-US" w:eastAsia="zh-CN"/>
                    </w:rPr>
                    <w:t>60</w:t>
                  </w:r>
                </w:p>
              </w:tc>
              <w:tc>
                <w:tcPr>
                  <w:tcW w:w="1481" w:type="dxa"/>
                  <w:vAlign w:val="center"/>
                </w:tcPr>
                <w:p>
                  <w:pPr>
                    <w:pStyle w:val="10"/>
                    <w:tabs>
                      <w:tab w:val="left" w:pos="3500"/>
                    </w:tabs>
                    <w:kinsoku w:val="0"/>
                    <w:overflowPunct w:val="0"/>
                    <w:spacing w:line="312" w:lineRule="exact"/>
                    <w:rPr>
                      <w:rFonts w:hint="eastAsia" w:asciiTheme="minorEastAsia" w:hAnsiTheme="minorEastAsia" w:eastAsiaTheme="minorEastAsia" w:cstheme="minorEastAsia"/>
                      <w:kern w:val="2"/>
                      <w:vertAlign w:val="baseline"/>
                      <w:lang w:val="en-US" w:eastAsia="zh-CN"/>
                    </w:rPr>
                  </w:pPr>
                  <w:r>
                    <w:rPr>
                      <w:rFonts w:hint="eastAsia" w:asciiTheme="minorEastAsia" w:hAnsiTheme="minorEastAsia" w:eastAsiaTheme="minorEastAsia" w:cstheme="minorEastAsia"/>
                      <w:kern w:val="2"/>
                      <w:vertAlign w:val="baseline"/>
                      <w:lang w:val="en-US" w:eastAsia="zh-CN"/>
                    </w:rPr>
                    <w:t/>
                  </w:r>
                </w:p>
              </w:tc>
              <w:tc>
                <w:tcPr>
                  <w:tcW w:w="1481" w:type="dxa"/>
                  <w:vAlign w:val="center"/>
                </w:tcPr>
                <w:p>
                  <w:pPr>
                    <w:pStyle w:val="10"/>
                    <w:tabs>
                      <w:tab w:val="left" w:pos="3500"/>
                    </w:tabs>
                    <w:kinsoku w:val="0"/>
                    <w:overflowPunct w:val="0"/>
                    <w:spacing w:line="312" w:lineRule="exact"/>
                    <w:rPr>
                      <w:rFonts w:hint="eastAsia" w:asciiTheme="minorEastAsia" w:hAnsiTheme="minorEastAsia" w:eastAsiaTheme="minorEastAsia" w:cstheme="minorEastAsia"/>
                      <w:kern w:val="2"/>
                      <w:vertAlign w:val="baseline"/>
                      <w:lang w:val="en-US" w:eastAsia="zh-CN"/>
                    </w:rPr>
                  </w:pPr>
                  <w:r>
                    <w:rPr>
                      <w:rFonts w:hint="eastAsia" w:asciiTheme="minorEastAsia" w:hAnsiTheme="minorEastAsia" w:eastAsiaTheme="minorEastAsia" w:cstheme="minorEastAsia"/>
                      <w:kern w:val="2"/>
                      <w:vertAlign w:val="baseline"/>
                      <w:lang w:val="en-US" w:eastAsia="zh-CN"/>
                    </w:rPr>
                    <w:t>委托利用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480" w:type="dxa"/>
                  <w:tcBorders>
                    <w:left w:val="nil"/>
                  </w:tcBorders>
                  <w:vAlign w:val="center"/>
                </w:tcPr>
                <w:p>
                  <w:pPr>
                    <w:pStyle w:val="10"/>
                    <w:tabs>
                      <w:tab w:val="left" w:pos="3500"/>
                    </w:tabs>
                    <w:kinsoku w:val="0"/>
                    <w:overflowPunct w:val="0"/>
                    <w:spacing w:line="312" w:lineRule="exact"/>
                    <w:rPr>
                      <w:rFonts w:hint="eastAsia" w:asciiTheme="minorEastAsia" w:hAnsiTheme="minorEastAsia" w:eastAsiaTheme="minorEastAsia" w:cstheme="minorEastAsia"/>
                      <w:kern w:val="2"/>
                      <w:vertAlign w:val="baseline"/>
                      <w:lang w:val="en-US" w:eastAsia="zh-CN"/>
                    </w:rPr>
                  </w:pPr>
                  <w:r>
                    <w:rPr>
                      <w:rFonts w:hint="eastAsia" w:asciiTheme="minorEastAsia" w:hAnsiTheme="minorEastAsia" w:eastAsiaTheme="minorEastAsia" w:cstheme="minorEastAsia"/>
                      <w:kern w:val="2"/>
                      <w:vertAlign w:val="baseline"/>
                      <w:lang w:val="en-US" w:eastAsia="zh-CN"/>
                    </w:rPr>
                    <w:t>16</w:t>
                  </w:r>
                </w:p>
              </w:tc>
              <w:tc>
                <w:tcPr>
                  <w:tcW w:w="1480" w:type="dxa"/>
                  <w:vAlign w:val="center"/>
                </w:tcPr>
                <w:p>
                  <w:pPr>
                    <w:pStyle w:val="10"/>
                    <w:tabs>
                      <w:tab w:val="left" w:pos="3500"/>
                    </w:tabs>
                    <w:kinsoku w:val="0"/>
                    <w:overflowPunct w:val="0"/>
                    <w:spacing w:line="312" w:lineRule="exact"/>
                    <w:rPr>
                      <w:rFonts w:hint="eastAsia" w:asciiTheme="minorEastAsia" w:hAnsiTheme="minorEastAsia" w:eastAsiaTheme="minorEastAsia" w:cstheme="minorEastAsia"/>
                      <w:kern w:val="2"/>
                      <w:vertAlign w:val="baseline"/>
                      <w:lang w:val="en-US" w:eastAsia="zh-CN"/>
                    </w:rPr>
                  </w:pPr>
                  <w:r>
                    <w:rPr>
                      <w:rFonts w:hint="eastAsia" w:asciiTheme="minorEastAsia" w:hAnsiTheme="minorEastAsia" w:eastAsiaTheme="minorEastAsia" w:cstheme="minorEastAsia"/>
                      <w:kern w:val="2"/>
                      <w:vertAlign w:val="baseline"/>
                      <w:lang w:val="en-US" w:eastAsia="zh-CN"/>
                    </w:rPr>
                    <w:t>蒸馏釜残</w:t>
                  </w:r>
                </w:p>
              </w:tc>
              <w:tc>
                <w:tcPr>
                  <w:tcW w:w="1480" w:type="dxa"/>
                  <w:vAlign w:val="center"/>
                </w:tcPr>
                <w:p>
                  <w:pPr>
                    <w:pStyle w:val="10"/>
                    <w:tabs>
                      <w:tab w:val="left" w:pos="3500"/>
                    </w:tabs>
                    <w:kinsoku w:val="0"/>
                    <w:overflowPunct w:val="0"/>
                    <w:spacing w:line="312" w:lineRule="exact"/>
                    <w:rPr>
                      <w:rFonts w:hint="eastAsia" w:asciiTheme="minorEastAsia" w:hAnsiTheme="minorEastAsia" w:eastAsiaTheme="minorEastAsia" w:cstheme="minorEastAsia"/>
                      <w:kern w:val="2"/>
                      <w:vertAlign w:val="baseline"/>
                      <w:lang w:val="en-US" w:eastAsia="zh-CN"/>
                    </w:rPr>
                  </w:pPr>
                  <w:r>
                    <w:rPr>
                      <w:rFonts w:hint="eastAsia" w:asciiTheme="minorEastAsia" w:hAnsiTheme="minorEastAsia" w:eastAsiaTheme="minorEastAsia" w:cstheme="minorEastAsia"/>
                      <w:kern w:val="2"/>
                      <w:vertAlign w:val="baseline"/>
                      <w:lang w:val="en-US" w:eastAsia="zh-CN"/>
                    </w:rPr>
                    <w:t>900-013-11</w:t>
                  </w:r>
                </w:p>
              </w:tc>
              <w:tc>
                <w:tcPr>
                  <w:tcW w:w="1481" w:type="dxa"/>
                  <w:vAlign w:val="center"/>
                </w:tcPr>
                <w:p>
                  <w:pPr>
                    <w:pStyle w:val="10"/>
                    <w:tabs>
                      <w:tab w:val="left" w:pos="3500"/>
                    </w:tabs>
                    <w:kinsoku w:val="0"/>
                    <w:overflowPunct w:val="0"/>
                    <w:spacing w:line="312" w:lineRule="exact"/>
                    <w:rPr>
                      <w:rFonts w:hint="eastAsia" w:asciiTheme="minorEastAsia" w:hAnsiTheme="minorEastAsia" w:eastAsiaTheme="minorEastAsia" w:cstheme="minorEastAsia"/>
                      <w:kern w:val="2"/>
                      <w:vertAlign w:val="baseline"/>
                      <w:lang w:val="en-US" w:eastAsia="zh-CN"/>
                    </w:rPr>
                  </w:pPr>
                  <w:r>
                    <w:rPr>
                      <w:rFonts w:hint="eastAsia" w:asciiTheme="minorEastAsia" w:hAnsiTheme="minorEastAsia" w:eastAsiaTheme="minorEastAsia" w:cstheme="minorEastAsia"/>
                      <w:kern w:val="2"/>
                      <w:vertAlign w:val="baseline"/>
                      <w:lang w:val="en-US" w:eastAsia="zh-CN"/>
                    </w:rPr>
                    <w:t>1000</w:t>
                  </w:r>
                </w:p>
              </w:tc>
              <w:tc>
                <w:tcPr>
                  <w:tcW w:w="1481" w:type="dxa"/>
                  <w:vAlign w:val="center"/>
                </w:tcPr>
                <w:p>
                  <w:pPr>
                    <w:pStyle w:val="10"/>
                    <w:tabs>
                      <w:tab w:val="left" w:pos="3500"/>
                    </w:tabs>
                    <w:kinsoku w:val="0"/>
                    <w:overflowPunct w:val="0"/>
                    <w:spacing w:line="312" w:lineRule="exact"/>
                    <w:rPr>
                      <w:rFonts w:hint="eastAsia" w:asciiTheme="minorEastAsia" w:hAnsiTheme="minorEastAsia" w:eastAsiaTheme="minorEastAsia" w:cstheme="minorEastAsia"/>
                      <w:kern w:val="2"/>
                      <w:vertAlign w:val="baseline"/>
                      <w:lang w:val="en-US" w:eastAsia="zh-CN"/>
                    </w:rPr>
                  </w:pPr>
                  <w:r>
                    <w:rPr>
                      <w:rFonts w:hint="eastAsia" w:asciiTheme="minorEastAsia" w:hAnsiTheme="minorEastAsia" w:eastAsiaTheme="minorEastAsia" w:cstheme="minorEastAsia"/>
                      <w:kern w:val="2"/>
                      <w:vertAlign w:val="baseline"/>
                      <w:lang w:val="en-US" w:eastAsia="zh-CN"/>
                    </w:rPr>
                    <w:t/>
                  </w:r>
                </w:p>
              </w:tc>
              <w:tc>
                <w:tcPr>
                  <w:tcW w:w="1481" w:type="dxa"/>
                  <w:vAlign w:val="center"/>
                </w:tcPr>
                <w:p>
                  <w:pPr>
                    <w:pStyle w:val="10"/>
                    <w:tabs>
                      <w:tab w:val="left" w:pos="3500"/>
                    </w:tabs>
                    <w:kinsoku w:val="0"/>
                    <w:overflowPunct w:val="0"/>
                    <w:spacing w:line="312" w:lineRule="exact"/>
                    <w:rPr>
                      <w:rFonts w:hint="eastAsia" w:asciiTheme="minorEastAsia" w:hAnsiTheme="minorEastAsia" w:eastAsiaTheme="minorEastAsia" w:cstheme="minorEastAsia"/>
                      <w:kern w:val="2"/>
                      <w:vertAlign w:val="baseline"/>
                      <w:lang w:val="en-US" w:eastAsia="zh-CN"/>
                    </w:rPr>
                  </w:pPr>
                  <w:r>
                    <w:rPr>
                      <w:rFonts w:hint="eastAsia" w:asciiTheme="minorEastAsia" w:hAnsiTheme="minorEastAsia" w:eastAsiaTheme="minorEastAsia" w:cstheme="minorEastAsia"/>
                      <w:kern w:val="2"/>
                      <w:vertAlign w:val="baseline"/>
                      <w:lang w:val="en-US" w:eastAsia="zh-CN"/>
                    </w:rPr>
                    <w:t>委托利用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480" w:type="dxa"/>
                  <w:tcBorders>
                    <w:left w:val="nil"/>
                  </w:tcBorders>
                  <w:vAlign w:val="center"/>
                </w:tcPr>
                <w:p>
                  <w:pPr>
                    <w:pStyle w:val="10"/>
                    <w:tabs>
                      <w:tab w:val="left" w:pos="3500"/>
                    </w:tabs>
                    <w:kinsoku w:val="0"/>
                    <w:overflowPunct w:val="0"/>
                    <w:spacing w:line="312" w:lineRule="exact"/>
                    <w:rPr>
                      <w:rFonts w:hint="eastAsia" w:asciiTheme="minorEastAsia" w:hAnsiTheme="minorEastAsia" w:eastAsiaTheme="minorEastAsia" w:cstheme="minorEastAsia"/>
                      <w:kern w:val="2"/>
                      <w:vertAlign w:val="baseline"/>
                      <w:lang w:val="en-US" w:eastAsia="zh-CN"/>
                    </w:rPr>
                  </w:pPr>
                  <w:r>
                    <w:rPr>
                      <w:rFonts w:hint="eastAsia" w:asciiTheme="minorEastAsia" w:hAnsiTheme="minorEastAsia" w:eastAsiaTheme="minorEastAsia" w:cstheme="minorEastAsia"/>
                      <w:kern w:val="2"/>
                      <w:vertAlign w:val="baseline"/>
                      <w:lang w:val="en-US" w:eastAsia="zh-CN"/>
                    </w:rPr>
                    <w:t>17</w:t>
                  </w:r>
                </w:p>
              </w:tc>
              <w:tc>
                <w:tcPr>
                  <w:tcW w:w="1480" w:type="dxa"/>
                  <w:vAlign w:val="center"/>
                </w:tcPr>
                <w:p>
                  <w:pPr>
                    <w:pStyle w:val="10"/>
                    <w:tabs>
                      <w:tab w:val="left" w:pos="3500"/>
                    </w:tabs>
                    <w:kinsoku w:val="0"/>
                    <w:overflowPunct w:val="0"/>
                    <w:spacing w:line="312" w:lineRule="exact"/>
                    <w:rPr>
                      <w:rFonts w:hint="eastAsia" w:asciiTheme="minorEastAsia" w:hAnsiTheme="minorEastAsia" w:eastAsiaTheme="minorEastAsia" w:cstheme="minorEastAsia"/>
                      <w:kern w:val="2"/>
                      <w:vertAlign w:val="baseline"/>
                      <w:lang w:val="en-US" w:eastAsia="zh-CN"/>
                    </w:rPr>
                  </w:pPr>
                  <w:r>
                    <w:rPr>
                      <w:rFonts w:hint="eastAsia" w:asciiTheme="minorEastAsia" w:hAnsiTheme="minorEastAsia" w:eastAsiaTheme="minorEastAsia" w:cstheme="minorEastAsia"/>
                      <w:kern w:val="2"/>
                      <w:vertAlign w:val="baseline"/>
                      <w:lang w:val="en-US" w:eastAsia="zh-CN"/>
                    </w:rPr>
                    <w:t>混合二氯苯</w:t>
                  </w:r>
                </w:p>
              </w:tc>
              <w:tc>
                <w:tcPr>
                  <w:tcW w:w="1480" w:type="dxa"/>
                  <w:vAlign w:val="center"/>
                </w:tcPr>
                <w:p>
                  <w:pPr>
                    <w:pStyle w:val="10"/>
                    <w:tabs>
                      <w:tab w:val="left" w:pos="3500"/>
                    </w:tabs>
                    <w:kinsoku w:val="0"/>
                    <w:overflowPunct w:val="0"/>
                    <w:spacing w:line="312" w:lineRule="exact"/>
                    <w:rPr>
                      <w:rFonts w:hint="eastAsia" w:asciiTheme="minorEastAsia" w:hAnsiTheme="minorEastAsia" w:eastAsiaTheme="minorEastAsia" w:cstheme="minorEastAsia"/>
                      <w:kern w:val="2"/>
                      <w:vertAlign w:val="baseline"/>
                      <w:lang w:val="en-US" w:eastAsia="zh-CN"/>
                    </w:rPr>
                  </w:pPr>
                  <w:r>
                    <w:rPr>
                      <w:rFonts w:hint="eastAsia" w:asciiTheme="minorEastAsia" w:hAnsiTheme="minorEastAsia" w:eastAsiaTheme="minorEastAsia" w:cstheme="minorEastAsia"/>
                      <w:kern w:val="2"/>
                      <w:vertAlign w:val="baseline"/>
                      <w:lang w:val="en-US" w:eastAsia="zh-CN"/>
                    </w:rPr>
                    <w:t>261-026-11</w:t>
                  </w:r>
                </w:p>
              </w:tc>
              <w:tc>
                <w:tcPr>
                  <w:tcW w:w="1481" w:type="dxa"/>
                  <w:vAlign w:val="center"/>
                </w:tcPr>
                <w:p>
                  <w:pPr>
                    <w:pStyle w:val="10"/>
                    <w:tabs>
                      <w:tab w:val="left" w:pos="3500"/>
                    </w:tabs>
                    <w:kinsoku w:val="0"/>
                    <w:overflowPunct w:val="0"/>
                    <w:spacing w:line="312" w:lineRule="exact"/>
                    <w:rPr>
                      <w:rFonts w:hint="eastAsia" w:asciiTheme="minorEastAsia" w:hAnsiTheme="minorEastAsia" w:eastAsiaTheme="minorEastAsia" w:cstheme="minorEastAsia"/>
                      <w:kern w:val="2"/>
                      <w:vertAlign w:val="baseline"/>
                      <w:lang w:val="en-US" w:eastAsia="zh-CN"/>
                    </w:rPr>
                  </w:pPr>
                  <w:r>
                    <w:rPr>
                      <w:rFonts w:hint="eastAsia" w:asciiTheme="minorEastAsia" w:hAnsiTheme="minorEastAsia" w:eastAsiaTheme="minorEastAsia" w:cstheme="minorEastAsia"/>
                      <w:kern w:val="2"/>
                      <w:vertAlign w:val="baseline"/>
                      <w:lang w:val="en-US" w:eastAsia="zh-CN"/>
                    </w:rPr>
                    <w:t>3000</w:t>
                  </w:r>
                </w:p>
              </w:tc>
              <w:tc>
                <w:tcPr>
                  <w:tcW w:w="1481" w:type="dxa"/>
                  <w:vAlign w:val="center"/>
                </w:tcPr>
                <w:p>
                  <w:pPr>
                    <w:pStyle w:val="10"/>
                    <w:tabs>
                      <w:tab w:val="left" w:pos="3500"/>
                    </w:tabs>
                    <w:kinsoku w:val="0"/>
                    <w:overflowPunct w:val="0"/>
                    <w:spacing w:line="312" w:lineRule="exact"/>
                    <w:rPr>
                      <w:rFonts w:hint="eastAsia" w:asciiTheme="minorEastAsia" w:hAnsiTheme="minorEastAsia" w:eastAsiaTheme="minorEastAsia" w:cstheme="minorEastAsia"/>
                      <w:kern w:val="2"/>
                      <w:vertAlign w:val="baseline"/>
                      <w:lang w:val="en-US" w:eastAsia="zh-CN"/>
                    </w:rPr>
                  </w:pPr>
                  <w:r>
                    <w:rPr>
                      <w:rFonts w:hint="eastAsia" w:asciiTheme="minorEastAsia" w:hAnsiTheme="minorEastAsia" w:eastAsiaTheme="minorEastAsia" w:cstheme="minorEastAsia"/>
                      <w:kern w:val="2"/>
                      <w:vertAlign w:val="baseline"/>
                      <w:lang w:val="en-US" w:eastAsia="zh-CN"/>
                    </w:rPr>
                    <w:t/>
                  </w:r>
                </w:p>
              </w:tc>
              <w:tc>
                <w:tcPr>
                  <w:tcW w:w="1481" w:type="dxa"/>
                  <w:vAlign w:val="center"/>
                </w:tcPr>
                <w:p>
                  <w:pPr>
                    <w:pStyle w:val="10"/>
                    <w:tabs>
                      <w:tab w:val="left" w:pos="3500"/>
                    </w:tabs>
                    <w:kinsoku w:val="0"/>
                    <w:overflowPunct w:val="0"/>
                    <w:spacing w:line="312" w:lineRule="exact"/>
                    <w:rPr>
                      <w:rFonts w:hint="eastAsia" w:asciiTheme="minorEastAsia" w:hAnsiTheme="minorEastAsia" w:eastAsiaTheme="minorEastAsia" w:cstheme="minorEastAsia"/>
                      <w:kern w:val="2"/>
                      <w:vertAlign w:val="baseline"/>
                      <w:lang w:val="en-US" w:eastAsia="zh-CN"/>
                    </w:rPr>
                  </w:pPr>
                  <w:r>
                    <w:rPr>
                      <w:rFonts w:hint="eastAsia" w:asciiTheme="minorEastAsia" w:hAnsiTheme="minorEastAsia" w:eastAsiaTheme="minorEastAsia" w:cstheme="minorEastAsia"/>
                      <w:kern w:val="2"/>
                      <w:vertAlign w:val="baseline"/>
                      <w:lang w:val="en-US" w:eastAsia="zh-CN"/>
                    </w:rPr>
                    <w:t>委托利用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480" w:type="dxa"/>
                  <w:tcBorders>
                    <w:left w:val="nil"/>
                  </w:tcBorders>
                  <w:vAlign w:val="center"/>
                </w:tcPr>
                <w:p>
                  <w:pPr>
                    <w:pStyle w:val="10"/>
                    <w:tabs>
                      <w:tab w:val="left" w:pos="3500"/>
                    </w:tabs>
                    <w:kinsoku w:val="0"/>
                    <w:overflowPunct w:val="0"/>
                    <w:spacing w:line="312" w:lineRule="exact"/>
                    <w:rPr>
                      <w:rFonts w:hint="eastAsia" w:asciiTheme="minorEastAsia" w:hAnsiTheme="minorEastAsia" w:eastAsiaTheme="minorEastAsia" w:cstheme="minorEastAsia"/>
                      <w:kern w:val="2"/>
                      <w:vertAlign w:val="baseline"/>
                      <w:lang w:val="en-US" w:eastAsia="zh-CN"/>
                    </w:rPr>
                  </w:pPr>
                  <w:r>
                    <w:rPr>
                      <w:rFonts w:hint="eastAsia" w:asciiTheme="minorEastAsia" w:hAnsiTheme="minorEastAsia" w:eastAsiaTheme="minorEastAsia" w:cstheme="minorEastAsia"/>
                      <w:kern w:val="2"/>
                      <w:vertAlign w:val="baseline"/>
                      <w:lang w:val="en-US" w:eastAsia="zh-CN"/>
                    </w:rPr>
                    <w:t>18</w:t>
                  </w:r>
                </w:p>
              </w:tc>
              <w:tc>
                <w:tcPr>
                  <w:tcW w:w="1480" w:type="dxa"/>
                  <w:vAlign w:val="center"/>
                </w:tcPr>
                <w:p>
                  <w:pPr>
                    <w:pStyle w:val="10"/>
                    <w:tabs>
                      <w:tab w:val="left" w:pos="3500"/>
                    </w:tabs>
                    <w:kinsoku w:val="0"/>
                    <w:overflowPunct w:val="0"/>
                    <w:spacing w:line="312" w:lineRule="exact"/>
                    <w:rPr>
                      <w:rFonts w:hint="eastAsia" w:asciiTheme="minorEastAsia" w:hAnsiTheme="minorEastAsia" w:eastAsiaTheme="minorEastAsia" w:cstheme="minorEastAsia"/>
                      <w:kern w:val="2"/>
                      <w:vertAlign w:val="baseline"/>
                      <w:lang w:val="en-US" w:eastAsia="zh-CN"/>
                    </w:rPr>
                  </w:pPr>
                  <w:r>
                    <w:rPr>
                      <w:rFonts w:hint="eastAsia" w:asciiTheme="minorEastAsia" w:hAnsiTheme="minorEastAsia" w:eastAsiaTheme="minorEastAsia" w:cstheme="minorEastAsia"/>
                      <w:kern w:val="2"/>
                      <w:vertAlign w:val="baseline"/>
                      <w:lang w:val="en-US" w:eastAsia="zh-CN"/>
                    </w:rPr>
                    <w:t>化验室废液</w:t>
                  </w:r>
                </w:p>
              </w:tc>
              <w:tc>
                <w:tcPr>
                  <w:tcW w:w="1480" w:type="dxa"/>
                  <w:vAlign w:val="center"/>
                </w:tcPr>
                <w:p>
                  <w:pPr>
                    <w:pStyle w:val="10"/>
                    <w:tabs>
                      <w:tab w:val="left" w:pos="3500"/>
                    </w:tabs>
                    <w:kinsoku w:val="0"/>
                    <w:overflowPunct w:val="0"/>
                    <w:spacing w:line="312" w:lineRule="exact"/>
                    <w:rPr>
                      <w:rFonts w:hint="eastAsia" w:asciiTheme="minorEastAsia" w:hAnsiTheme="minorEastAsia" w:eastAsiaTheme="minorEastAsia" w:cstheme="minorEastAsia"/>
                      <w:kern w:val="2"/>
                      <w:vertAlign w:val="baseline"/>
                      <w:lang w:val="en-US" w:eastAsia="zh-CN"/>
                    </w:rPr>
                  </w:pPr>
                  <w:r>
                    <w:rPr>
                      <w:rFonts w:hint="eastAsia" w:asciiTheme="minorEastAsia" w:hAnsiTheme="minorEastAsia" w:eastAsiaTheme="minorEastAsia" w:cstheme="minorEastAsia"/>
                      <w:kern w:val="2"/>
                      <w:vertAlign w:val="baseline"/>
                      <w:lang w:val="en-US" w:eastAsia="zh-CN"/>
                    </w:rPr>
                    <w:t>900-047-49</w:t>
                  </w:r>
                </w:p>
              </w:tc>
              <w:tc>
                <w:tcPr>
                  <w:tcW w:w="1481" w:type="dxa"/>
                  <w:vAlign w:val="center"/>
                </w:tcPr>
                <w:p>
                  <w:pPr>
                    <w:pStyle w:val="10"/>
                    <w:tabs>
                      <w:tab w:val="left" w:pos="3500"/>
                    </w:tabs>
                    <w:kinsoku w:val="0"/>
                    <w:overflowPunct w:val="0"/>
                    <w:spacing w:line="312" w:lineRule="exact"/>
                    <w:rPr>
                      <w:rFonts w:hint="eastAsia" w:asciiTheme="minorEastAsia" w:hAnsiTheme="minorEastAsia" w:eastAsiaTheme="minorEastAsia" w:cstheme="minorEastAsia"/>
                      <w:kern w:val="2"/>
                      <w:vertAlign w:val="baseline"/>
                      <w:lang w:val="en-US" w:eastAsia="zh-CN"/>
                    </w:rPr>
                  </w:pPr>
                  <w:r>
                    <w:rPr>
                      <w:rFonts w:hint="eastAsia" w:asciiTheme="minorEastAsia" w:hAnsiTheme="minorEastAsia" w:eastAsiaTheme="minorEastAsia" w:cstheme="minorEastAsia"/>
                      <w:kern w:val="2"/>
                      <w:vertAlign w:val="baseline"/>
                      <w:lang w:val="en-US" w:eastAsia="zh-CN"/>
                    </w:rPr>
                    <w:t>10</w:t>
                  </w:r>
                </w:p>
              </w:tc>
              <w:tc>
                <w:tcPr>
                  <w:tcW w:w="1481" w:type="dxa"/>
                  <w:vAlign w:val="center"/>
                </w:tcPr>
                <w:p>
                  <w:pPr>
                    <w:pStyle w:val="10"/>
                    <w:tabs>
                      <w:tab w:val="left" w:pos="3500"/>
                    </w:tabs>
                    <w:kinsoku w:val="0"/>
                    <w:overflowPunct w:val="0"/>
                    <w:spacing w:line="312" w:lineRule="exact"/>
                    <w:rPr>
                      <w:rFonts w:hint="eastAsia" w:asciiTheme="minorEastAsia" w:hAnsiTheme="minorEastAsia" w:eastAsiaTheme="minorEastAsia" w:cstheme="minorEastAsia"/>
                      <w:kern w:val="2"/>
                      <w:vertAlign w:val="baseline"/>
                      <w:lang w:val="en-US" w:eastAsia="zh-CN"/>
                    </w:rPr>
                  </w:pPr>
                  <w:r>
                    <w:rPr>
                      <w:rFonts w:hint="eastAsia" w:asciiTheme="minorEastAsia" w:hAnsiTheme="minorEastAsia" w:eastAsiaTheme="minorEastAsia" w:cstheme="minorEastAsia"/>
                      <w:kern w:val="2"/>
                      <w:vertAlign w:val="baseline"/>
                      <w:lang w:val="en-US" w:eastAsia="zh-CN"/>
                    </w:rPr>
                    <w:t/>
                  </w:r>
                </w:p>
              </w:tc>
              <w:tc>
                <w:tcPr>
                  <w:tcW w:w="1481" w:type="dxa"/>
                  <w:vAlign w:val="center"/>
                </w:tcPr>
                <w:p>
                  <w:pPr>
                    <w:pStyle w:val="10"/>
                    <w:tabs>
                      <w:tab w:val="left" w:pos="3500"/>
                    </w:tabs>
                    <w:kinsoku w:val="0"/>
                    <w:overflowPunct w:val="0"/>
                    <w:spacing w:line="312" w:lineRule="exact"/>
                    <w:rPr>
                      <w:rFonts w:hint="eastAsia" w:asciiTheme="minorEastAsia" w:hAnsiTheme="minorEastAsia" w:eastAsiaTheme="minorEastAsia" w:cstheme="minorEastAsia"/>
                      <w:kern w:val="2"/>
                      <w:vertAlign w:val="baseline"/>
                      <w:lang w:val="en-US" w:eastAsia="zh-CN"/>
                    </w:rPr>
                  </w:pPr>
                  <w:r>
                    <w:rPr>
                      <w:rFonts w:hint="eastAsia" w:asciiTheme="minorEastAsia" w:hAnsiTheme="minorEastAsia" w:eastAsiaTheme="minorEastAsia" w:cstheme="minorEastAsia"/>
                      <w:kern w:val="2"/>
                      <w:vertAlign w:val="baseline"/>
                      <w:lang w:val="en-US" w:eastAsia="zh-CN"/>
                    </w:rPr>
                    <w:t>委托处置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480" w:type="dxa"/>
                  <w:tcBorders>
                    <w:left w:val="nil"/>
                  </w:tcBorders>
                  <w:vAlign w:val="center"/>
                </w:tcPr>
                <w:p>
                  <w:pPr>
                    <w:pStyle w:val="10"/>
                    <w:tabs>
                      <w:tab w:val="left" w:pos="3500"/>
                    </w:tabs>
                    <w:kinsoku w:val="0"/>
                    <w:overflowPunct w:val="0"/>
                    <w:spacing w:line="312" w:lineRule="exact"/>
                    <w:rPr>
                      <w:rFonts w:hint="eastAsia" w:asciiTheme="minorEastAsia" w:hAnsiTheme="minorEastAsia" w:eastAsiaTheme="minorEastAsia" w:cstheme="minorEastAsia"/>
                      <w:kern w:val="2"/>
                      <w:vertAlign w:val="baseline"/>
                      <w:lang w:val="en-US" w:eastAsia="zh-CN"/>
                    </w:rPr>
                  </w:pPr>
                  <w:r>
                    <w:rPr>
                      <w:rFonts w:hint="eastAsia" w:asciiTheme="minorEastAsia" w:hAnsiTheme="minorEastAsia" w:eastAsiaTheme="minorEastAsia" w:cstheme="minorEastAsia"/>
                      <w:kern w:val="2"/>
                      <w:vertAlign w:val="baseline"/>
                      <w:lang w:val="en-US" w:eastAsia="zh-CN"/>
                    </w:rPr>
                    <w:t>19</w:t>
                  </w:r>
                </w:p>
              </w:tc>
              <w:tc>
                <w:tcPr>
                  <w:tcW w:w="1480" w:type="dxa"/>
                  <w:vAlign w:val="center"/>
                </w:tcPr>
                <w:p>
                  <w:pPr>
                    <w:pStyle w:val="10"/>
                    <w:tabs>
                      <w:tab w:val="left" w:pos="3500"/>
                    </w:tabs>
                    <w:kinsoku w:val="0"/>
                    <w:overflowPunct w:val="0"/>
                    <w:spacing w:line="312" w:lineRule="exact"/>
                    <w:rPr>
                      <w:rFonts w:hint="eastAsia" w:asciiTheme="minorEastAsia" w:hAnsiTheme="minorEastAsia" w:eastAsiaTheme="minorEastAsia" w:cstheme="minorEastAsia"/>
                      <w:kern w:val="2"/>
                      <w:vertAlign w:val="baseline"/>
                      <w:lang w:val="en-US" w:eastAsia="zh-CN"/>
                    </w:rPr>
                  </w:pPr>
                  <w:r>
                    <w:rPr>
                      <w:rFonts w:hint="eastAsia" w:asciiTheme="minorEastAsia" w:hAnsiTheme="minorEastAsia" w:eastAsiaTheme="minorEastAsia" w:cstheme="minorEastAsia"/>
                      <w:kern w:val="2"/>
                      <w:vertAlign w:val="baseline"/>
                      <w:lang w:val="en-US" w:eastAsia="zh-CN"/>
                    </w:rPr>
                    <w:t>废树脂</w:t>
                  </w:r>
                </w:p>
              </w:tc>
              <w:tc>
                <w:tcPr>
                  <w:tcW w:w="1480" w:type="dxa"/>
                  <w:vAlign w:val="center"/>
                </w:tcPr>
                <w:p>
                  <w:pPr>
                    <w:pStyle w:val="10"/>
                    <w:tabs>
                      <w:tab w:val="left" w:pos="3500"/>
                    </w:tabs>
                    <w:kinsoku w:val="0"/>
                    <w:overflowPunct w:val="0"/>
                    <w:spacing w:line="312" w:lineRule="exact"/>
                    <w:rPr>
                      <w:rFonts w:hint="eastAsia" w:asciiTheme="minorEastAsia" w:hAnsiTheme="minorEastAsia" w:eastAsiaTheme="minorEastAsia" w:cstheme="minorEastAsia"/>
                      <w:kern w:val="2"/>
                      <w:vertAlign w:val="baseline"/>
                      <w:lang w:val="en-US" w:eastAsia="zh-CN"/>
                    </w:rPr>
                  </w:pPr>
                  <w:r>
                    <w:rPr>
                      <w:rFonts w:hint="eastAsia" w:asciiTheme="minorEastAsia" w:hAnsiTheme="minorEastAsia" w:eastAsiaTheme="minorEastAsia" w:cstheme="minorEastAsia"/>
                      <w:kern w:val="2"/>
                      <w:vertAlign w:val="baseline"/>
                      <w:lang w:val="en-US" w:eastAsia="zh-CN"/>
                    </w:rPr>
                    <w:t>900-015-13</w:t>
                  </w:r>
                </w:p>
              </w:tc>
              <w:tc>
                <w:tcPr>
                  <w:tcW w:w="1481" w:type="dxa"/>
                  <w:vAlign w:val="center"/>
                </w:tcPr>
                <w:p>
                  <w:pPr>
                    <w:pStyle w:val="10"/>
                    <w:tabs>
                      <w:tab w:val="left" w:pos="3500"/>
                    </w:tabs>
                    <w:kinsoku w:val="0"/>
                    <w:overflowPunct w:val="0"/>
                    <w:spacing w:line="312" w:lineRule="exact"/>
                    <w:rPr>
                      <w:rFonts w:hint="eastAsia" w:asciiTheme="minorEastAsia" w:hAnsiTheme="minorEastAsia" w:eastAsiaTheme="minorEastAsia" w:cstheme="minorEastAsia"/>
                      <w:kern w:val="2"/>
                      <w:vertAlign w:val="baseline"/>
                      <w:lang w:val="en-US" w:eastAsia="zh-CN"/>
                    </w:rPr>
                  </w:pPr>
                  <w:r>
                    <w:rPr>
                      <w:rFonts w:hint="eastAsia" w:asciiTheme="minorEastAsia" w:hAnsiTheme="minorEastAsia" w:eastAsiaTheme="minorEastAsia" w:cstheme="minorEastAsia"/>
                      <w:kern w:val="2"/>
                      <w:vertAlign w:val="baseline"/>
                      <w:lang w:val="en-US" w:eastAsia="zh-CN"/>
                    </w:rPr>
                    <w:t>30</w:t>
                  </w:r>
                </w:p>
              </w:tc>
              <w:tc>
                <w:tcPr>
                  <w:tcW w:w="1481" w:type="dxa"/>
                  <w:vAlign w:val="center"/>
                </w:tcPr>
                <w:p>
                  <w:pPr>
                    <w:pStyle w:val="10"/>
                    <w:tabs>
                      <w:tab w:val="left" w:pos="3500"/>
                    </w:tabs>
                    <w:kinsoku w:val="0"/>
                    <w:overflowPunct w:val="0"/>
                    <w:spacing w:line="312" w:lineRule="exact"/>
                    <w:rPr>
                      <w:rFonts w:hint="eastAsia" w:asciiTheme="minorEastAsia" w:hAnsiTheme="minorEastAsia" w:eastAsiaTheme="minorEastAsia" w:cstheme="minorEastAsia"/>
                      <w:kern w:val="2"/>
                      <w:vertAlign w:val="baseline"/>
                      <w:lang w:val="en-US" w:eastAsia="zh-CN"/>
                    </w:rPr>
                  </w:pPr>
                  <w:r>
                    <w:rPr>
                      <w:rFonts w:hint="eastAsia" w:asciiTheme="minorEastAsia" w:hAnsiTheme="minorEastAsia" w:eastAsiaTheme="minorEastAsia" w:cstheme="minorEastAsia"/>
                      <w:kern w:val="2"/>
                      <w:vertAlign w:val="baseline"/>
                      <w:lang w:val="en-US" w:eastAsia="zh-CN"/>
                    </w:rPr>
                    <w:t/>
                  </w:r>
                </w:p>
              </w:tc>
              <w:tc>
                <w:tcPr>
                  <w:tcW w:w="1481" w:type="dxa"/>
                  <w:vAlign w:val="center"/>
                </w:tcPr>
                <w:p>
                  <w:pPr>
                    <w:pStyle w:val="10"/>
                    <w:tabs>
                      <w:tab w:val="left" w:pos="3500"/>
                    </w:tabs>
                    <w:kinsoku w:val="0"/>
                    <w:overflowPunct w:val="0"/>
                    <w:spacing w:line="312" w:lineRule="exact"/>
                    <w:rPr>
                      <w:rFonts w:hint="eastAsia" w:asciiTheme="minorEastAsia" w:hAnsiTheme="minorEastAsia" w:eastAsiaTheme="minorEastAsia" w:cstheme="minorEastAsia"/>
                      <w:kern w:val="2"/>
                      <w:vertAlign w:val="baseline"/>
                      <w:lang w:val="en-US" w:eastAsia="zh-CN"/>
                    </w:rPr>
                  </w:pPr>
                  <w:r>
                    <w:rPr>
                      <w:rFonts w:hint="eastAsia" w:asciiTheme="minorEastAsia" w:hAnsiTheme="minorEastAsia" w:eastAsiaTheme="minorEastAsia" w:cstheme="minorEastAsia"/>
                      <w:kern w:val="2"/>
                      <w:vertAlign w:val="baseline"/>
                      <w:lang w:val="en-US" w:eastAsia="zh-CN"/>
                    </w:rPr>
                    <w:t>委托处置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480" w:type="dxa"/>
                  <w:tcBorders>
                    <w:left w:val="nil"/>
                  </w:tcBorders>
                  <w:vAlign w:val="center"/>
                </w:tcPr>
                <w:p>
                  <w:pPr>
                    <w:pStyle w:val="10"/>
                    <w:tabs>
                      <w:tab w:val="left" w:pos="3500"/>
                    </w:tabs>
                    <w:kinsoku w:val="0"/>
                    <w:overflowPunct w:val="0"/>
                    <w:spacing w:line="312" w:lineRule="exact"/>
                    <w:rPr>
                      <w:rFonts w:hint="eastAsia" w:asciiTheme="minorEastAsia" w:hAnsiTheme="minorEastAsia" w:eastAsiaTheme="minorEastAsia" w:cstheme="minorEastAsia"/>
                      <w:kern w:val="2"/>
                      <w:vertAlign w:val="baseline"/>
                      <w:lang w:val="en-US" w:eastAsia="zh-CN"/>
                    </w:rPr>
                  </w:pPr>
                  <w:r>
                    <w:rPr>
                      <w:rFonts w:hint="eastAsia" w:asciiTheme="minorEastAsia" w:hAnsiTheme="minorEastAsia" w:eastAsiaTheme="minorEastAsia" w:cstheme="minorEastAsia"/>
                      <w:kern w:val="2"/>
                      <w:vertAlign w:val="baseline"/>
                      <w:lang w:val="en-US" w:eastAsia="zh-CN"/>
                    </w:rPr>
                    <w:t>20</w:t>
                  </w:r>
                </w:p>
              </w:tc>
              <w:tc>
                <w:tcPr>
                  <w:tcW w:w="1480" w:type="dxa"/>
                  <w:vAlign w:val="center"/>
                </w:tcPr>
                <w:p>
                  <w:pPr>
                    <w:pStyle w:val="10"/>
                    <w:tabs>
                      <w:tab w:val="left" w:pos="3500"/>
                    </w:tabs>
                    <w:kinsoku w:val="0"/>
                    <w:overflowPunct w:val="0"/>
                    <w:spacing w:line="312" w:lineRule="exact"/>
                    <w:rPr>
                      <w:rFonts w:hint="eastAsia" w:asciiTheme="minorEastAsia" w:hAnsiTheme="minorEastAsia" w:eastAsiaTheme="minorEastAsia" w:cstheme="minorEastAsia"/>
                      <w:kern w:val="2"/>
                      <w:vertAlign w:val="baseline"/>
                      <w:lang w:val="en-US" w:eastAsia="zh-CN"/>
                    </w:rPr>
                  </w:pPr>
                  <w:r>
                    <w:rPr>
                      <w:rFonts w:hint="eastAsia" w:asciiTheme="minorEastAsia" w:hAnsiTheme="minorEastAsia" w:eastAsiaTheme="minorEastAsia" w:cstheme="minorEastAsia"/>
                      <w:kern w:val="2"/>
                      <w:vertAlign w:val="baseline"/>
                      <w:lang w:val="en-US" w:eastAsia="zh-CN"/>
                    </w:rPr>
                    <w:t>废岩棉</w:t>
                  </w:r>
                </w:p>
              </w:tc>
              <w:tc>
                <w:tcPr>
                  <w:tcW w:w="1480" w:type="dxa"/>
                  <w:vAlign w:val="center"/>
                </w:tcPr>
                <w:p>
                  <w:pPr>
                    <w:pStyle w:val="10"/>
                    <w:tabs>
                      <w:tab w:val="left" w:pos="3500"/>
                    </w:tabs>
                    <w:kinsoku w:val="0"/>
                    <w:overflowPunct w:val="0"/>
                    <w:spacing w:line="312" w:lineRule="exact"/>
                    <w:rPr>
                      <w:rFonts w:hint="eastAsia" w:asciiTheme="minorEastAsia" w:hAnsiTheme="minorEastAsia" w:eastAsiaTheme="minorEastAsia" w:cstheme="minorEastAsia"/>
                      <w:kern w:val="2"/>
                      <w:vertAlign w:val="baseline"/>
                      <w:lang w:val="en-US" w:eastAsia="zh-CN"/>
                    </w:rPr>
                  </w:pPr>
                  <w:r>
                    <w:rPr>
                      <w:rFonts w:hint="eastAsia" w:asciiTheme="minorEastAsia" w:hAnsiTheme="minorEastAsia" w:eastAsiaTheme="minorEastAsia" w:cstheme="minorEastAsia"/>
                      <w:kern w:val="2"/>
                      <w:vertAlign w:val="baseline"/>
                      <w:lang w:val="en-US" w:eastAsia="zh-CN"/>
                    </w:rPr>
                    <w:t>900-030-36</w:t>
                  </w:r>
                </w:p>
              </w:tc>
              <w:tc>
                <w:tcPr>
                  <w:tcW w:w="1481" w:type="dxa"/>
                  <w:vAlign w:val="center"/>
                </w:tcPr>
                <w:p>
                  <w:pPr>
                    <w:pStyle w:val="10"/>
                    <w:tabs>
                      <w:tab w:val="left" w:pos="3500"/>
                    </w:tabs>
                    <w:kinsoku w:val="0"/>
                    <w:overflowPunct w:val="0"/>
                    <w:spacing w:line="312" w:lineRule="exact"/>
                    <w:rPr>
                      <w:rFonts w:hint="eastAsia" w:asciiTheme="minorEastAsia" w:hAnsiTheme="minorEastAsia" w:eastAsiaTheme="minorEastAsia" w:cstheme="minorEastAsia"/>
                      <w:kern w:val="2"/>
                      <w:vertAlign w:val="baseline"/>
                      <w:lang w:val="en-US" w:eastAsia="zh-CN"/>
                    </w:rPr>
                  </w:pPr>
                  <w:r>
                    <w:rPr>
                      <w:rFonts w:hint="eastAsia" w:asciiTheme="minorEastAsia" w:hAnsiTheme="minorEastAsia" w:eastAsiaTheme="minorEastAsia" w:cstheme="minorEastAsia"/>
                      <w:kern w:val="2"/>
                      <w:vertAlign w:val="baseline"/>
                      <w:lang w:val="en-US" w:eastAsia="zh-CN"/>
                    </w:rPr>
                    <w:t>100</w:t>
                  </w:r>
                </w:p>
              </w:tc>
              <w:tc>
                <w:tcPr>
                  <w:tcW w:w="1481" w:type="dxa"/>
                  <w:vAlign w:val="center"/>
                </w:tcPr>
                <w:p>
                  <w:pPr>
                    <w:pStyle w:val="10"/>
                    <w:tabs>
                      <w:tab w:val="left" w:pos="3500"/>
                    </w:tabs>
                    <w:kinsoku w:val="0"/>
                    <w:overflowPunct w:val="0"/>
                    <w:spacing w:line="312" w:lineRule="exact"/>
                    <w:rPr>
                      <w:rFonts w:hint="eastAsia" w:asciiTheme="minorEastAsia" w:hAnsiTheme="minorEastAsia" w:eastAsiaTheme="minorEastAsia" w:cstheme="minorEastAsia"/>
                      <w:kern w:val="2"/>
                      <w:vertAlign w:val="baseline"/>
                      <w:lang w:val="en-US" w:eastAsia="zh-CN"/>
                    </w:rPr>
                  </w:pPr>
                  <w:r>
                    <w:rPr>
                      <w:rFonts w:hint="eastAsia" w:asciiTheme="minorEastAsia" w:hAnsiTheme="minorEastAsia" w:eastAsiaTheme="minorEastAsia" w:cstheme="minorEastAsia"/>
                      <w:kern w:val="2"/>
                      <w:vertAlign w:val="baseline"/>
                      <w:lang w:val="en-US" w:eastAsia="zh-CN"/>
                    </w:rPr>
                    <w:t/>
                  </w:r>
                </w:p>
              </w:tc>
              <w:tc>
                <w:tcPr>
                  <w:tcW w:w="1481" w:type="dxa"/>
                  <w:vAlign w:val="center"/>
                </w:tcPr>
                <w:p>
                  <w:pPr>
                    <w:pStyle w:val="10"/>
                    <w:tabs>
                      <w:tab w:val="left" w:pos="3500"/>
                    </w:tabs>
                    <w:kinsoku w:val="0"/>
                    <w:overflowPunct w:val="0"/>
                    <w:spacing w:line="312" w:lineRule="exact"/>
                    <w:rPr>
                      <w:rFonts w:hint="eastAsia" w:asciiTheme="minorEastAsia" w:hAnsiTheme="minorEastAsia" w:eastAsiaTheme="minorEastAsia" w:cstheme="minorEastAsia"/>
                      <w:kern w:val="2"/>
                      <w:vertAlign w:val="baseline"/>
                      <w:lang w:val="en-US" w:eastAsia="zh-CN"/>
                    </w:rPr>
                  </w:pPr>
                  <w:r>
                    <w:rPr>
                      <w:rFonts w:hint="eastAsia" w:asciiTheme="minorEastAsia" w:hAnsiTheme="minorEastAsia" w:eastAsiaTheme="minorEastAsia" w:cstheme="minorEastAsia"/>
                      <w:kern w:val="2"/>
                      <w:vertAlign w:val="baseline"/>
                      <w:lang w:val="en-US" w:eastAsia="zh-CN"/>
                    </w:rPr>
                    <w:t>委托处置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480" w:type="dxa"/>
                  <w:tcBorders>
                    <w:left w:val="nil"/>
                  </w:tcBorders>
                  <w:vAlign w:val="center"/>
                </w:tcPr>
                <w:p>
                  <w:pPr>
                    <w:pStyle w:val="10"/>
                    <w:tabs>
                      <w:tab w:val="left" w:pos="3500"/>
                    </w:tabs>
                    <w:kinsoku w:val="0"/>
                    <w:overflowPunct w:val="0"/>
                    <w:spacing w:line="312" w:lineRule="exact"/>
                    <w:rPr>
                      <w:rFonts w:hint="eastAsia" w:asciiTheme="minorEastAsia" w:hAnsiTheme="minorEastAsia" w:eastAsiaTheme="minorEastAsia" w:cstheme="minorEastAsia"/>
                      <w:kern w:val="2"/>
                      <w:vertAlign w:val="baseline"/>
                      <w:lang w:val="en-US" w:eastAsia="zh-CN"/>
                    </w:rPr>
                  </w:pPr>
                  <w:r>
                    <w:rPr>
                      <w:rFonts w:hint="eastAsia" w:asciiTheme="minorEastAsia" w:hAnsiTheme="minorEastAsia" w:eastAsiaTheme="minorEastAsia" w:cstheme="minorEastAsia"/>
                      <w:kern w:val="2"/>
                      <w:vertAlign w:val="baseline"/>
                      <w:lang w:val="en-US" w:eastAsia="zh-CN"/>
                    </w:rPr>
                    <w:t>21</w:t>
                  </w:r>
                </w:p>
              </w:tc>
              <w:tc>
                <w:tcPr>
                  <w:tcW w:w="1480" w:type="dxa"/>
                  <w:vAlign w:val="center"/>
                </w:tcPr>
                <w:p>
                  <w:pPr>
                    <w:pStyle w:val="10"/>
                    <w:tabs>
                      <w:tab w:val="left" w:pos="3500"/>
                    </w:tabs>
                    <w:kinsoku w:val="0"/>
                    <w:overflowPunct w:val="0"/>
                    <w:spacing w:line="312" w:lineRule="exact"/>
                    <w:rPr>
                      <w:rFonts w:hint="eastAsia" w:asciiTheme="minorEastAsia" w:hAnsiTheme="minorEastAsia" w:eastAsiaTheme="minorEastAsia" w:cstheme="minorEastAsia"/>
                      <w:kern w:val="2"/>
                      <w:vertAlign w:val="baseline"/>
                      <w:lang w:val="en-US" w:eastAsia="zh-CN"/>
                    </w:rPr>
                  </w:pPr>
                  <w:r>
                    <w:rPr>
                      <w:rFonts w:hint="eastAsia" w:asciiTheme="minorEastAsia" w:hAnsiTheme="minorEastAsia" w:eastAsiaTheme="minorEastAsia" w:cstheme="minorEastAsia"/>
                      <w:kern w:val="2"/>
                      <w:vertAlign w:val="baseline"/>
                      <w:lang w:val="en-US" w:eastAsia="zh-CN"/>
                    </w:rPr>
                    <w:t>高沸物</w:t>
                  </w:r>
                </w:p>
              </w:tc>
              <w:tc>
                <w:tcPr>
                  <w:tcW w:w="1480" w:type="dxa"/>
                  <w:vAlign w:val="center"/>
                </w:tcPr>
                <w:p>
                  <w:pPr>
                    <w:pStyle w:val="10"/>
                    <w:tabs>
                      <w:tab w:val="left" w:pos="3500"/>
                    </w:tabs>
                    <w:kinsoku w:val="0"/>
                    <w:overflowPunct w:val="0"/>
                    <w:spacing w:line="312" w:lineRule="exact"/>
                    <w:rPr>
                      <w:rFonts w:hint="eastAsia" w:asciiTheme="minorEastAsia" w:hAnsiTheme="minorEastAsia" w:eastAsiaTheme="minorEastAsia" w:cstheme="minorEastAsia"/>
                      <w:kern w:val="2"/>
                      <w:vertAlign w:val="baseline"/>
                      <w:lang w:val="en-US" w:eastAsia="zh-CN"/>
                    </w:rPr>
                  </w:pPr>
                  <w:r>
                    <w:rPr>
                      <w:rFonts w:hint="eastAsia" w:asciiTheme="minorEastAsia" w:hAnsiTheme="minorEastAsia" w:eastAsiaTheme="minorEastAsia" w:cstheme="minorEastAsia"/>
                      <w:kern w:val="2"/>
                      <w:vertAlign w:val="baseline"/>
                      <w:lang w:val="en-US" w:eastAsia="zh-CN"/>
                    </w:rPr>
                    <w:t>261-026-11</w:t>
                  </w:r>
                </w:p>
              </w:tc>
              <w:tc>
                <w:tcPr>
                  <w:tcW w:w="1481" w:type="dxa"/>
                  <w:vAlign w:val="center"/>
                </w:tcPr>
                <w:p>
                  <w:pPr>
                    <w:pStyle w:val="10"/>
                    <w:tabs>
                      <w:tab w:val="left" w:pos="3500"/>
                    </w:tabs>
                    <w:kinsoku w:val="0"/>
                    <w:overflowPunct w:val="0"/>
                    <w:spacing w:line="312" w:lineRule="exact"/>
                    <w:rPr>
                      <w:rFonts w:hint="eastAsia" w:asciiTheme="minorEastAsia" w:hAnsiTheme="minorEastAsia" w:eastAsiaTheme="minorEastAsia" w:cstheme="minorEastAsia"/>
                      <w:kern w:val="2"/>
                      <w:vertAlign w:val="baseline"/>
                      <w:lang w:val="en-US" w:eastAsia="zh-CN"/>
                    </w:rPr>
                  </w:pPr>
                  <w:r>
                    <w:rPr>
                      <w:rFonts w:hint="eastAsia" w:asciiTheme="minorEastAsia" w:hAnsiTheme="minorEastAsia" w:eastAsiaTheme="minorEastAsia" w:cstheme="minorEastAsia"/>
                      <w:kern w:val="2"/>
                      <w:vertAlign w:val="baseline"/>
                      <w:lang w:val="en-US" w:eastAsia="zh-CN"/>
                    </w:rPr>
                    <w:t>200</w:t>
                  </w:r>
                </w:p>
              </w:tc>
              <w:tc>
                <w:tcPr>
                  <w:tcW w:w="1481" w:type="dxa"/>
                  <w:vAlign w:val="center"/>
                </w:tcPr>
                <w:p>
                  <w:pPr>
                    <w:pStyle w:val="10"/>
                    <w:tabs>
                      <w:tab w:val="left" w:pos="3500"/>
                    </w:tabs>
                    <w:kinsoku w:val="0"/>
                    <w:overflowPunct w:val="0"/>
                    <w:spacing w:line="312" w:lineRule="exact"/>
                    <w:rPr>
                      <w:rFonts w:hint="eastAsia" w:asciiTheme="minorEastAsia" w:hAnsiTheme="minorEastAsia" w:eastAsiaTheme="minorEastAsia" w:cstheme="minorEastAsia"/>
                      <w:kern w:val="2"/>
                      <w:vertAlign w:val="baseline"/>
                      <w:lang w:val="en-US" w:eastAsia="zh-CN"/>
                    </w:rPr>
                  </w:pPr>
                  <w:r>
                    <w:rPr>
                      <w:rFonts w:hint="eastAsia" w:asciiTheme="minorEastAsia" w:hAnsiTheme="minorEastAsia" w:eastAsiaTheme="minorEastAsia" w:cstheme="minorEastAsia"/>
                      <w:kern w:val="2"/>
                      <w:vertAlign w:val="baseline"/>
                      <w:lang w:val="en-US" w:eastAsia="zh-CN"/>
                    </w:rPr>
                    <w:t/>
                  </w:r>
                </w:p>
              </w:tc>
              <w:tc>
                <w:tcPr>
                  <w:tcW w:w="1481" w:type="dxa"/>
                  <w:vAlign w:val="center"/>
                </w:tcPr>
                <w:p>
                  <w:pPr>
                    <w:pStyle w:val="10"/>
                    <w:tabs>
                      <w:tab w:val="left" w:pos="3500"/>
                    </w:tabs>
                    <w:kinsoku w:val="0"/>
                    <w:overflowPunct w:val="0"/>
                    <w:spacing w:line="312" w:lineRule="exact"/>
                    <w:rPr>
                      <w:rFonts w:hint="eastAsia" w:asciiTheme="minorEastAsia" w:hAnsiTheme="minorEastAsia" w:eastAsiaTheme="minorEastAsia" w:cstheme="minorEastAsia"/>
                      <w:kern w:val="2"/>
                      <w:vertAlign w:val="baseline"/>
                      <w:lang w:val="en-US" w:eastAsia="zh-CN"/>
                    </w:rPr>
                  </w:pPr>
                  <w:r>
                    <w:rPr>
                      <w:rFonts w:hint="eastAsia" w:asciiTheme="minorEastAsia" w:hAnsiTheme="minorEastAsia" w:eastAsiaTheme="minorEastAsia" w:cstheme="minorEastAsia"/>
                      <w:kern w:val="2"/>
                      <w:vertAlign w:val="baseline"/>
                      <w:lang w:val="en-US" w:eastAsia="zh-CN"/>
                    </w:rPr>
                    <w:t>委托处置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480" w:type="dxa"/>
                  <w:tcBorders>
                    <w:left w:val="nil"/>
                  </w:tcBorders>
                  <w:vAlign w:val="center"/>
                </w:tcPr>
                <w:p>
                  <w:pPr>
                    <w:pStyle w:val="10"/>
                    <w:tabs>
                      <w:tab w:val="left" w:pos="3500"/>
                    </w:tabs>
                    <w:kinsoku w:val="0"/>
                    <w:overflowPunct w:val="0"/>
                    <w:spacing w:line="312" w:lineRule="exact"/>
                    <w:rPr>
                      <w:rFonts w:hint="default" w:eastAsiaTheme="minorEastAsia"/>
                      <w:kern w:val="2"/>
                      <w:vertAlign w:val="baseline"/>
                      <w:lang w:val="en-US" w:eastAsia="zh-CN"/>
                    </w:rPr>
                  </w:pPr>
                </w:p>
              </w:tc>
              <w:tc>
                <w:tcPr>
                  <w:tcW w:w="1480" w:type="dxa"/>
                  <w:vAlign w:val="center"/>
                </w:tcPr>
                <w:p>
                  <w:pPr>
                    <w:pStyle w:val="10"/>
                    <w:tabs>
                      <w:tab w:val="left" w:pos="3500"/>
                    </w:tabs>
                    <w:kinsoku w:val="0"/>
                    <w:overflowPunct w:val="0"/>
                    <w:spacing w:line="312" w:lineRule="exact"/>
                    <w:rPr>
                      <w:rFonts w:hint="default" w:eastAsiaTheme="minorEastAsia"/>
                      <w:kern w:val="2"/>
                      <w:vertAlign w:val="baseline"/>
                      <w:lang w:val="en-US" w:eastAsia="zh-CN"/>
                    </w:rPr>
                  </w:pPr>
                </w:p>
              </w:tc>
              <w:tc>
                <w:tcPr>
                  <w:tcW w:w="1480" w:type="dxa"/>
                  <w:vAlign w:val="center"/>
                </w:tcPr>
                <w:p>
                  <w:pPr>
                    <w:pStyle w:val="10"/>
                    <w:tabs>
                      <w:tab w:val="left" w:pos="3500"/>
                    </w:tabs>
                    <w:kinsoku w:val="0"/>
                    <w:overflowPunct w:val="0"/>
                    <w:spacing w:line="312" w:lineRule="exact"/>
                    <w:rPr>
                      <w:rFonts w:hint="default" w:eastAsiaTheme="minorEastAsia"/>
                      <w:kern w:val="2"/>
                      <w:vertAlign w:val="baseline"/>
                      <w:lang w:val="en-US" w:eastAsia="zh-CN"/>
                    </w:rPr>
                  </w:pPr>
                  <w:r>
                    <w:rPr>
                      <w:rFonts w:hint="eastAsia"/>
                      <w:kern w:val="2"/>
                      <w:vertAlign w:val="baseline"/>
                      <w:lang w:val="en-US" w:eastAsia="zh-CN"/>
                    </w:rPr>
                    <w:t>合计</w:t>
                  </w:r>
                </w:p>
              </w:tc>
              <w:tc>
                <w:tcPr>
                  <w:tcW w:w="1481" w:type="dxa"/>
                  <w:vAlign w:val="center"/>
                </w:tcPr>
                <w:p>
                  <w:pPr>
                    <w:pStyle w:val="10"/>
                    <w:tabs>
                      <w:tab w:val="left" w:pos="3500"/>
                    </w:tabs>
                    <w:kinsoku w:val="0"/>
                    <w:overflowPunct w:val="0"/>
                    <w:spacing w:line="312" w:lineRule="exact"/>
                    <w:rPr>
                      <w:rFonts w:hint="default" w:eastAsiaTheme="minorEastAsia"/>
                      <w:kern w:val="2"/>
                      <w:vertAlign w:val="baseline"/>
                      <w:lang w:val="en-US" w:eastAsia="zh-CN"/>
                    </w:rPr>
                  </w:pPr>
                  <w:r>
                    <w:rPr>
                      <w:rFonts w:hint="eastAsia" w:asciiTheme="minorEastAsia" w:hAnsiTheme="minorEastAsia" w:eastAsiaTheme="minorEastAsia" w:cstheme="minorEastAsia"/>
                      <w:color w:val="000000"/>
                      <w:sz w:val="24"/>
                      <w:szCs w:val="24"/>
                      <w:lang w:val="en-US" w:eastAsia="zh-CN"/>
                    </w:rPr>
                    <w:t>14130</w:t>
                  </w:r>
                </w:p>
              </w:tc>
              <w:tc>
                <w:tcPr>
                  <w:tcW w:w="1481" w:type="dxa"/>
                  <w:vAlign w:val="center"/>
                </w:tcPr>
                <w:p>
                  <w:pPr>
                    <w:pStyle w:val="10"/>
                    <w:tabs>
                      <w:tab w:val="left" w:pos="3500"/>
                    </w:tabs>
                    <w:kinsoku w:val="0"/>
                    <w:overflowPunct w:val="0"/>
                    <w:spacing w:line="312" w:lineRule="exact"/>
                    <w:rPr>
                      <w:rFonts w:hint="default" w:eastAsiaTheme="minorEastAsia"/>
                      <w:kern w:val="2"/>
                      <w:vertAlign w:val="baseline"/>
                      <w:lang w:val="en-US" w:eastAsia="zh-CN"/>
                    </w:rPr>
                  </w:pPr>
                </w:p>
              </w:tc>
              <w:tc>
                <w:tcPr>
                  <w:tcW w:w="1481" w:type="dxa"/>
                  <w:vAlign w:val="center"/>
                </w:tcPr>
                <w:p>
                  <w:pPr>
                    <w:pStyle w:val="10"/>
                    <w:tabs>
                      <w:tab w:val="left" w:pos="3500"/>
                    </w:tabs>
                    <w:kinsoku w:val="0"/>
                    <w:overflowPunct w:val="0"/>
                    <w:spacing w:line="312" w:lineRule="exact"/>
                    <w:rPr>
                      <w:rFonts w:hint="default" w:eastAsiaTheme="minorEastAsia"/>
                      <w:kern w:val="2"/>
                      <w:vertAlign w:val="baseline"/>
                      <w:lang w:val="en-US" w:eastAsia="zh-CN"/>
                    </w:rPr>
                  </w:pPr>
                </w:p>
              </w:tc>
            </w:tr>
          </w:tbl>
          <w:p>
            <w:pPr>
              <w:pStyle w:val="10"/>
              <w:tabs>
                <w:tab w:val="left" w:pos="3500"/>
              </w:tabs>
              <w:kinsoku w:val="0"/>
              <w:overflowPunct w:val="0"/>
              <w:spacing w:line="312" w:lineRule="exact"/>
              <w:ind w:left="102"/>
              <w:rPr>
                <w:rFonts w:hint="default" w:eastAsiaTheme="minorEastAsia"/>
                <w:kern w:val="2"/>
                <w:lang w:val="en-US" w:eastAsia="zh-CN"/>
              </w:rPr>
            </w:pPr>
          </w:p>
        </w:tc>
      </w:tr>
    </w:tbl>
    <w:p>
      <w:pPr>
        <w:rPr>
          <w:rFonts w:hint="default"/>
          <w:lang w:val="en-US" w:eastAsia="zh-CN"/>
        </w:rPr>
        <w:sectPr>
          <w:pgSz w:w="11906" w:h="16838"/>
          <w:pgMar w:top="1440" w:right="1803" w:bottom="1440" w:left="1803" w:header="851" w:footer="992" w:gutter="0"/>
          <w:cols w:space="0" w:num="1"/>
          <w:rtlGutter w:val="0"/>
          <w:docGrid w:type="lines" w:linePitch="319" w:charSpace="0"/>
        </w:sectPr>
      </w:pPr>
    </w:p>
    <w:p>
      <w:pPr>
        <w:autoSpaceDE w:val="0"/>
        <w:autoSpaceDN w:val="0"/>
        <w:adjustRightInd w:val="0"/>
        <w:snapToGrid w:val="0"/>
        <w:spacing w:line="336" w:lineRule="auto"/>
        <w:ind w:firstLine="859" w:firstLineChars="200"/>
        <w:jc w:val="center"/>
        <w:rPr>
          <w:rFonts w:eastAsia="仿宋_GB2312"/>
          <w:b/>
          <w:bCs/>
          <w:color w:val="000000"/>
          <w:kern w:val="0"/>
          <w:sz w:val="44"/>
          <w:szCs w:val="44"/>
          <w:lang w:val="zh-CN"/>
        </w:rPr>
      </w:pPr>
      <w:r>
        <w:rPr>
          <w:rFonts w:eastAsia="仿宋_GB2312"/>
          <w:b/>
          <w:bCs/>
          <w:color w:val="000000"/>
          <w:kern w:val="0"/>
          <w:sz w:val="44"/>
          <w:szCs w:val="44"/>
          <w:lang w:val="zh-CN"/>
        </w:rPr>
        <w:t>填 表 说 明</w:t>
      </w:r>
    </w:p>
    <w:p>
      <w:pPr>
        <w:autoSpaceDE w:val="0"/>
        <w:autoSpaceDN w:val="0"/>
        <w:adjustRightInd w:val="0"/>
        <w:snapToGrid w:val="0"/>
        <w:spacing w:line="336" w:lineRule="auto"/>
        <w:ind w:firstLine="578" w:firstLineChars="200"/>
        <w:rPr>
          <w:rFonts w:eastAsia="仿宋_GB2312"/>
          <w:b/>
          <w:color w:val="000000"/>
          <w:kern w:val="0"/>
          <w:sz w:val="30"/>
          <w:lang w:val="zh-CN"/>
        </w:rPr>
      </w:pPr>
      <w:r>
        <w:rPr>
          <w:rFonts w:eastAsia="仿宋_GB2312"/>
          <w:b/>
          <w:color w:val="000000"/>
          <w:kern w:val="0"/>
          <w:sz w:val="30"/>
          <w:lang w:val="zh-CN"/>
        </w:rPr>
        <w:t>封面</w:t>
      </w:r>
    </w:p>
    <w:p>
      <w:pPr>
        <w:autoSpaceDE w:val="0"/>
        <w:autoSpaceDN w:val="0"/>
        <w:adjustRightInd w:val="0"/>
        <w:snapToGrid w:val="0"/>
        <w:spacing w:line="336" w:lineRule="auto"/>
        <w:ind w:firstLine="576" w:firstLineChars="200"/>
        <w:rPr>
          <w:rFonts w:eastAsia="仿宋_GB2312"/>
          <w:color w:val="000000"/>
          <w:kern w:val="0"/>
          <w:sz w:val="30"/>
          <w:lang w:val="zh-CN"/>
        </w:rPr>
      </w:pPr>
      <w:r>
        <w:rPr>
          <w:rFonts w:eastAsia="仿宋_GB2312"/>
          <w:color w:val="000000"/>
          <w:kern w:val="0"/>
          <w:sz w:val="30"/>
          <w:lang w:val="zh-CN"/>
        </w:rPr>
        <w:t>单位名称：单位法人登记或者工商行政主管部门核准的名称，与单位公章所使用的名称一致；</w:t>
      </w:r>
    </w:p>
    <w:p>
      <w:pPr>
        <w:autoSpaceDE w:val="0"/>
        <w:autoSpaceDN w:val="0"/>
        <w:adjustRightInd w:val="0"/>
        <w:snapToGrid w:val="0"/>
        <w:spacing w:line="336" w:lineRule="auto"/>
        <w:ind w:firstLine="576" w:firstLineChars="200"/>
        <w:rPr>
          <w:rFonts w:eastAsia="仿宋_GB2312"/>
          <w:color w:val="000000"/>
          <w:kern w:val="0"/>
          <w:sz w:val="30"/>
          <w:lang w:val="zh-CN"/>
        </w:rPr>
      </w:pPr>
      <w:r>
        <w:rPr>
          <w:rFonts w:eastAsia="仿宋_GB2312"/>
          <w:color w:val="000000"/>
          <w:kern w:val="0"/>
          <w:sz w:val="30"/>
          <w:lang w:val="zh-CN"/>
        </w:rPr>
        <w:t>制定日期：制定本管理计划表的日期，原则上为当年制定下一年度的管理计划；</w:t>
      </w:r>
    </w:p>
    <w:p>
      <w:pPr>
        <w:autoSpaceDE w:val="0"/>
        <w:autoSpaceDN w:val="0"/>
        <w:adjustRightInd w:val="0"/>
        <w:snapToGrid w:val="0"/>
        <w:spacing w:line="336" w:lineRule="auto"/>
        <w:ind w:firstLine="578" w:firstLineChars="200"/>
        <w:rPr>
          <w:rFonts w:eastAsia="仿宋_GB2312"/>
          <w:b/>
          <w:color w:val="000000"/>
          <w:kern w:val="0"/>
          <w:sz w:val="30"/>
          <w:lang w:val="zh-CN"/>
        </w:rPr>
      </w:pPr>
      <w:r>
        <w:rPr>
          <w:rFonts w:eastAsia="仿宋_GB2312"/>
          <w:b/>
          <w:color w:val="000000"/>
          <w:kern w:val="0"/>
          <w:sz w:val="30"/>
          <w:lang w:val="zh-CN"/>
        </w:rPr>
        <w:t>表1 基本信息</w:t>
      </w:r>
    </w:p>
    <w:p>
      <w:pPr>
        <w:autoSpaceDE w:val="0"/>
        <w:autoSpaceDN w:val="0"/>
        <w:adjustRightInd w:val="0"/>
        <w:snapToGrid w:val="0"/>
        <w:spacing w:line="336" w:lineRule="auto"/>
        <w:ind w:firstLine="576" w:firstLineChars="200"/>
        <w:rPr>
          <w:rFonts w:eastAsia="仿宋_GB2312"/>
          <w:color w:val="000000"/>
          <w:kern w:val="0"/>
          <w:sz w:val="30"/>
          <w:lang w:val="zh-CN"/>
        </w:rPr>
      </w:pPr>
      <w:r>
        <w:rPr>
          <w:rFonts w:eastAsia="仿宋_GB2312"/>
          <w:color w:val="000000"/>
          <w:kern w:val="0"/>
          <w:sz w:val="30"/>
          <w:lang w:val="zh-CN"/>
        </w:rPr>
        <w:t>单位名称：与封面上的单位名称一致；</w:t>
      </w:r>
    </w:p>
    <w:p>
      <w:pPr>
        <w:autoSpaceDE w:val="0"/>
        <w:autoSpaceDN w:val="0"/>
        <w:adjustRightInd w:val="0"/>
        <w:snapToGrid w:val="0"/>
        <w:spacing w:line="336" w:lineRule="auto"/>
        <w:ind w:firstLine="576" w:firstLineChars="200"/>
        <w:rPr>
          <w:rFonts w:eastAsia="仿宋_GB2312"/>
          <w:color w:val="000000"/>
          <w:kern w:val="0"/>
          <w:sz w:val="30"/>
          <w:lang w:val="zh-CN"/>
        </w:rPr>
      </w:pPr>
      <w:r>
        <w:rPr>
          <w:rFonts w:eastAsia="仿宋_GB2312"/>
          <w:color w:val="000000"/>
          <w:kern w:val="0"/>
          <w:sz w:val="30"/>
          <w:lang w:val="zh-CN"/>
        </w:rPr>
        <w:t>注册地址：法人登记或者工商行政主管部门注册的办公地址；</w:t>
      </w:r>
    </w:p>
    <w:p>
      <w:pPr>
        <w:autoSpaceDE w:val="0"/>
        <w:autoSpaceDN w:val="0"/>
        <w:adjustRightInd w:val="0"/>
        <w:snapToGrid w:val="0"/>
        <w:spacing w:line="336" w:lineRule="auto"/>
        <w:ind w:firstLine="576" w:firstLineChars="200"/>
        <w:rPr>
          <w:rFonts w:eastAsia="仿宋_GB2312"/>
          <w:color w:val="000000"/>
          <w:kern w:val="0"/>
          <w:sz w:val="30"/>
          <w:lang w:val="zh-CN"/>
        </w:rPr>
      </w:pPr>
      <w:r>
        <w:rPr>
          <w:rFonts w:hint="eastAsia" w:eastAsia="仿宋_GB2312"/>
          <w:color w:val="000000"/>
          <w:kern w:val="0"/>
          <w:sz w:val="30"/>
          <w:lang w:val="zh-CN"/>
        </w:rPr>
        <w:t>生产经营场所地址</w:t>
      </w:r>
      <w:r>
        <w:rPr>
          <w:rFonts w:eastAsia="仿宋_GB2312"/>
          <w:color w:val="000000"/>
          <w:kern w:val="0"/>
          <w:sz w:val="30"/>
          <w:lang w:val="zh-CN"/>
        </w:rPr>
        <w:t>：产生危险废物的生产设施所在的地址；</w:t>
      </w:r>
    </w:p>
    <w:p>
      <w:pPr>
        <w:autoSpaceDE w:val="0"/>
        <w:autoSpaceDN w:val="0"/>
        <w:adjustRightInd w:val="0"/>
        <w:snapToGrid w:val="0"/>
        <w:spacing w:line="336" w:lineRule="auto"/>
        <w:ind w:firstLine="576" w:firstLineChars="200"/>
        <w:rPr>
          <w:rFonts w:eastAsia="仿宋_GB2312"/>
          <w:color w:val="000000"/>
          <w:kern w:val="0"/>
          <w:sz w:val="30"/>
          <w:lang w:val="zh-CN"/>
        </w:rPr>
      </w:pPr>
      <w:r>
        <w:rPr>
          <w:rFonts w:eastAsia="仿宋_GB2312"/>
          <w:color w:val="000000"/>
          <w:kern w:val="0"/>
          <w:sz w:val="30"/>
          <w:lang w:val="zh-CN"/>
        </w:rPr>
        <w:t>行业类别与代码：国民经济行业分类与代码（GB/T4754-2011）；</w:t>
      </w:r>
    </w:p>
    <w:p>
      <w:pPr>
        <w:autoSpaceDE w:val="0"/>
        <w:autoSpaceDN w:val="0"/>
        <w:adjustRightInd w:val="0"/>
        <w:snapToGrid w:val="0"/>
        <w:spacing w:line="336" w:lineRule="auto"/>
        <w:ind w:firstLine="576" w:firstLineChars="200"/>
        <w:rPr>
          <w:rFonts w:eastAsia="仿宋_GB2312"/>
          <w:color w:val="000000"/>
          <w:kern w:val="0"/>
          <w:sz w:val="30"/>
          <w:lang w:val="zh-CN"/>
        </w:rPr>
      </w:pPr>
      <w:r>
        <w:rPr>
          <w:rFonts w:eastAsia="仿宋_GB2312"/>
          <w:color w:val="000000"/>
          <w:kern w:val="0"/>
          <w:sz w:val="30"/>
          <w:lang w:val="zh-CN"/>
        </w:rPr>
        <w:t>环保部门负责人：主管环保工作的部门负责人姓名；</w:t>
      </w:r>
    </w:p>
    <w:p>
      <w:pPr>
        <w:autoSpaceDE w:val="0"/>
        <w:autoSpaceDN w:val="0"/>
        <w:adjustRightInd w:val="0"/>
        <w:snapToGrid w:val="0"/>
        <w:spacing w:line="336" w:lineRule="auto"/>
        <w:ind w:firstLine="576" w:firstLineChars="200"/>
        <w:rPr>
          <w:rFonts w:eastAsia="仿宋_GB2312"/>
          <w:color w:val="000000"/>
          <w:kern w:val="0"/>
          <w:sz w:val="30"/>
          <w:lang w:val="zh-CN"/>
        </w:rPr>
      </w:pPr>
      <w:r>
        <w:rPr>
          <w:rFonts w:eastAsia="仿宋_GB2312"/>
          <w:color w:val="000000"/>
          <w:kern w:val="0"/>
          <w:sz w:val="30"/>
          <w:lang w:val="zh-CN"/>
        </w:rPr>
        <w:t>联系人：主管环保工作的部门负责危险废物管理的人员姓名；</w:t>
      </w:r>
    </w:p>
    <w:p>
      <w:pPr>
        <w:autoSpaceDE w:val="0"/>
        <w:autoSpaceDN w:val="0"/>
        <w:adjustRightInd w:val="0"/>
        <w:snapToGrid w:val="0"/>
        <w:spacing w:line="336" w:lineRule="auto"/>
        <w:ind w:firstLine="576" w:firstLineChars="200"/>
        <w:rPr>
          <w:rFonts w:eastAsia="仿宋_GB2312"/>
          <w:color w:val="000000"/>
          <w:kern w:val="0"/>
          <w:sz w:val="30"/>
          <w:lang w:val="zh-CN"/>
        </w:rPr>
      </w:pPr>
      <w:r>
        <w:rPr>
          <w:rFonts w:eastAsia="仿宋_GB2312"/>
          <w:color w:val="000000"/>
          <w:kern w:val="0"/>
          <w:sz w:val="30"/>
          <w:lang w:val="zh-CN"/>
        </w:rPr>
        <w:t>管理部门：负责危险废物管理的部门名称；</w:t>
      </w:r>
    </w:p>
    <w:p>
      <w:pPr>
        <w:autoSpaceDE w:val="0"/>
        <w:autoSpaceDN w:val="0"/>
        <w:adjustRightInd w:val="0"/>
        <w:snapToGrid w:val="0"/>
        <w:spacing w:line="336" w:lineRule="auto"/>
        <w:ind w:firstLine="576" w:firstLineChars="200"/>
        <w:rPr>
          <w:rFonts w:eastAsia="仿宋_GB2312"/>
          <w:color w:val="000000"/>
          <w:kern w:val="0"/>
          <w:sz w:val="30"/>
          <w:lang w:val="zh-CN"/>
        </w:rPr>
      </w:pPr>
      <w:r>
        <w:rPr>
          <w:rFonts w:eastAsia="仿宋_GB2312"/>
          <w:color w:val="000000"/>
          <w:kern w:val="0"/>
          <w:sz w:val="30"/>
          <w:lang w:val="zh-CN"/>
        </w:rPr>
        <w:t>部门负责人：负责危险废物管理的部门的负责人姓名；</w:t>
      </w:r>
    </w:p>
    <w:p>
      <w:pPr>
        <w:autoSpaceDE w:val="0"/>
        <w:autoSpaceDN w:val="0"/>
        <w:adjustRightInd w:val="0"/>
        <w:snapToGrid w:val="0"/>
        <w:spacing w:line="336" w:lineRule="auto"/>
        <w:ind w:firstLine="576" w:firstLineChars="200"/>
        <w:rPr>
          <w:rFonts w:eastAsia="仿宋_GB2312"/>
          <w:color w:val="000000"/>
          <w:kern w:val="0"/>
          <w:sz w:val="30"/>
          <w:lang w:val="zh-CN"/>
        </w:rPr>
      </w:pPr>
      <w:r>
        <w:rPr>
          <w:rFonts w:eastAsia="仿宋_GB2312"/>
          <w:color w:val="000000"/>
          <w:kern w:val="0"/>
          <w:sz w:val="30"/>
          <w:lang w:val="zh-CN"/>
        </w:rPr>
        <w:t>废物管理负责人：负责危险废物具体管理工作的负责人；</w:t>
      </w:r>
    </w:p>
    <w:p>
      <w:pPr>
        <w:autoSpaceDE w:val="0"/>
        <w:autoSpaceDN w:val="0"/>
        <w:adjustRightInd w:val="0"/>
        <w:snapToGrid w:val="0"/>
        <w:spacing w:line="336" w:lineRule="auto"/>
        <w:ind w:firstLine="576" w:firstLineChars="200"/>
        <w:rPr>
          <w:rFonts w:eastAsia="仿宋_GB2312"/>
          <w:color w:val="000000"/>
          <w:kern w:val="0"/>
          <w:sz w:val="30"/>
          <w:lang w:val="zh-CN"/>
        </w:rPr>
      </w:pPr>
      <w:r>
        <w:rPr>
          <w:rFonts w:eastAsia="仿宋_GB2312"/>
          <w:color w:val="000000"/>
          <w:kern w:val="0"/>
          <w:sz w:val="30"/>
          <w:lang w:val="zh-CN"/>
        </w:rPr>
        <w:t>废物污染防治设施技术负责人及文化程度：负责危险废物贮存、运输、处置等污染防治设施运行管理的负责人姓名，及其文化程度；</w:t>
      </w:r>
    </w:p>
    <w:p>
      <w:pPr>
        <w:autoSpaceDE w:val="0"/>
        <w:autoSpaceDN w:val="0"/>
        <w:adjustRightInd w:val="0"/>
        <w:snapToGrid w:val="0"/>
        <w:spacing w:line="336" w:lineRule="auto"/>
        <w:ind w:firstLine="576" w:firstLineChars="200"/>
        <w:rPr>
          <w:rFonts w:eastAsia="仿宋_GB2312"/>
          <w:color w:val="000000"/>
          <w:kern w:val="0"/>
          <w:sz w:val="30"/>
          <w:lang w:val="zh-CN"/>
        </w:rPr>
      </w:pPr>
      <w:r>
        <w:rPr>
          <w:rFonts w:eastAsia="仿宋_GB2312"/>
          <w:color w:val="000000"/>
          <w:kern w:val="0"/>
          <w:sz w:val="30"/>
          <w:lang w:val="zh-CN"/>
        </w:rPr>
        <w:t>管理组织图：危险废物管理部门及人员构成的组织管理框架图。</w:t>
      </w:r>
    </w:p>
    <w:p>
      <w:pPr>
        <w:autoSpaceDE w:val="0"/>
        <w:autoSpaceDN w:val="0"/>
        <w:adjustRightInd w:val="0"/>
        <w:snapToGrid w:val="0"/>
        <w:spacing w:line="336" w:lineRule="auto"/>
        <w:ind w:firstLine="578" w:firstLineChars="200"/>
        <w:rPr>
          <w:rFonts w:hint="eastAsia" w:eastAsia="仿宋_GB2312"/>
          <w:b/>
          <w:color w:val="000000"/>
          <w:kern w:val="0"/>
          <w:sz w:val="30"/>
          <w:lang w:val="zh-CN" w:eastAsia="zh-CN"/>
        </w:rPr>
      </w:pPr>
      <w:r>
        <w:rPr>
          <w:rFonts w:eastAsia="仿宋_GB2312"/>
          <w:b/>
          <w:color w:val="000000"/>
          <w:kern w:val="0"/>
          <w:sz w:val="30"/>
          <w:lang w:val="zh-CN"/>
        </w:rPr>
        <w:t xml:space="preserve">表2 </w:t>
      </w:r>
      <w:r>
        <w:rPr>
          <w:rFonts w:hint="eastAsia" w:eastAsia="仿宋_GB2312"/>
          <w:b/>
          <w:color w:val="000000"/>
          <w:kern w:val="0"/>
          <w:sz w:val="30"/>
          <w:lang w:val="zh-CN"/>
        </w:rPr>
        <w:t>生产设施信息表</w:t>
      </w:r>
    </w:p>
    <w:p>
      <w:pPr>
        <w:autoSpaceDE w:val="0"/>
        <w:autoSpaceDN w:val="0"/>
        <w:adjustRightInd w:val="0"/>
        <w:snapToGrid w:val="0"/>
        <w:spacing w:line="336" w:lineRule="auto"/>
        <w:ind w:firstLine="576" w:firstLineChars="200"/>
        <w:rPr>
          <w:rFonts w:hint="eastAsia" w:eastAsia="仿宋_GB2312"/>
          <w:color w:val="000000"/>
          <w:kern w:val="0"/>
          <w:sz w:val="30"/>
          <w:lang w:val="en-US" w:eastAsia="zh-CN"/>
        </w:rPr>
      </w:pPr>
      <w:r>
        <w:rPr>
          <w:rFonts w:hint="eastAsia" w:eastAsia="仿宋_GB2312"/>
          <w:color w:val="000000"/>
          <w:kern w:val="0"/>
          <w:sz w:val="30"/>
          <w:lang w:val="en-US" w:eastAsia="zh-CN"/>
        </w:rPr>
        <w:t>设施名称：没有生产设施的危废，设施名称可填写：“非生产性产生源”，设施编码可填写：“FSCXCSY”.产品名称填“无”，原辅料名称填“无”；</w:t>
      </w:r>
    </w:p>
    <w:p>
      <w:pPr>
        <w:autoSpaceDE w:val="0"/>
        <w:autoSpaceDN w:val="0"/>
        <w:adjustRightInd w:val="0"/>
        <w:snapToGrid w:val="0"/>
        <w:spacing w:line="336" w:lineRule="auto"/>
        <w:ind w:firstLine="576" w:firstLineChars="200"/>
        <w:rPr>
          <w:rFonts w:hint="default" w:eastAsia="仿宋_GB2312"/>
          <w:color w:val="000000"/>
          <w:kern w:val="0"/>
          <w:sz w:val="30"/>
          <w:lang w:val="en-US" w:eastAsia="zh-CN"/>
        </w:rPr>
      </w:pPr>
      <w:r>
        <w:rPr>
          <w:rFonts w:hint="default" w:eastAsia="仿宋_GB2312"/>
          <w:color w:val="000000"/>
          <w:kern w:val="0"/>
          <w:sz w:val="30"/>
          <w:lang w:val="en-US" w:eastAsia="zh-CN"/>
        </w:rPr>
        <w:t>设施编码</w:t>
      </w:r>
      <w:r>
        <w:rPr>
          <w:rFonts w:hint="eastAsia" w:eastAsia="仿宋_GB2312"/>
          <w:color w:val="000000"/>
          <w:kern w:val="0"/>
          <w:sz w:val="30"/>
          <w:lang w:val="en-US" w:eastAsia="zh-CN"/>
        </w:rPr>
        <w:t>：填写排污许可证副本中载明的编码。若无编码，则根据 HJ 608 进行编码并填写。对于产生环节不固定的危险废物，选取其中一个产生该类别危险废物的设施编码填写。企业范围内的设施编码不可重复；</w:t>
      </w:r>
    </w:p>
    <w:p>
      <w:pPr>
        <w:autoSpaceDE w:val="0"/>
        <w:autoSpaceDN w:val="0"/>
        <w:adjustRightInd w:val="0"/>
        <w:snapToGrid w:val="0"/>
        <w:spacing w:line="336" w:lineRule="auto"/>
        <w:ind w:firstLine="576" w:firstLineChars="200"/>
        <w:rPr>
          <w:rFonts w:eastAsia="仿宋_GB2312"/>
          <w:color w:val="000000"/>
          <w:kern w:val="0"/>
          <w:sz w:val="30"/>
          <w:lang w:val="zh-CN"/>
        </w:rPr>
      </w:pPr>
      <w:r>
        <w:rPr>
          <w:rFonts w:hint="eastAsia" w:eastAsia="仿宋_GB2312"/>
          <w:color w:val="000000"/>
          <w:kern w:val="0"/>
          <w:sz w:val="30"/>
          <w:lang w:val="zh-CN"/>
        </w:rPr>
        <w:t>原辅料</w:t>
      </w:r>
      <w:r>
        <w:rPr>
          <w:rFonts w:hint="eastAsia" w:eastAsia="仿宋_GB2312"/>
          <w:color w:val="000000"/>
          <w:kern w:val="0"/>
          <w:sz w:val="30"/>
          <w:lang w:val="en-US" w:eastAsia="zh-CN"/>
        </w:rPr>
        <w:t>种类及名称</w:t>
      </w:r>
      <w:r>
        <w:rPr>
          <w:rFonts w:eastAsia="仿宋_GB2312"/>
          <w:color w:val="000000"/>
          <w:kern w:val="0"/>
          <w:sz w:val="30"/>
          <w:lang w:val="zh-CN"/>
        </w:rPr>
        <w:t>：计划期限上一年度及本年度计划用于生产的主要原辅材料的商品名称或化学名称，及其实际与计划年消耗量；</w:t>
      </w:r>
    </w:p>
    <w:p>
      <w:pPr>
        <w:autoSpaceDE w:val="0"/>
        <w:autoSpaceDN w:val="0"/>
        <w:adjustRightInd w:val="0"/>
        <w:snapToGrid w:val="0"/>
        <w:spacing w:line="336" w:lineRule="auto"/>
        <w:ind w:firstLine="576" w:firstLineChars="200"/>
        <w:rPr>
          <w:rFonts w:eastAsia="仿宋_GB2312"/>
          <w:color w:val="000000"/>
          <w:kern w:val="0"/>
          <w:sz w:val="30"/>
          <w:lang w:val="zh-CN"/>
        </w:rPr>
      </w:pPr>
      <w:r>
        <w:rPr>
          <w:rFonts w:eastAsia="仿宋_GB2312"/>
          <w:color w:val="000000"/>
          <w:kern w:val="0"/>
          <w:sz w:val="30"/>
          <w:lang w:val="zh-CN"/>
        </w:rPr>
        <w:t>生产设备及数量：用于生产的主要设备名称及其数量；</w:t>
      </w:r>
    </w:p>
    <w:p>
      <w:pPr>
        <w:autoSpaceDE w:val="0"/>
        <w:autoSpaceDN w:val="0"/>
        <w:adjustRightInd w:val="0"/>
        <w:snapToGrid w:val="0"/>
        <w:spacing w:line="336" w:lineRule="auto"/>
        <w:ind w:firstLine="576" w:firstLineChars="200"/>
        <w:rPr>
          <w:rFonts w:eastAsia="仿宋_GB2312"/>
          <w:color w:val="000000"/>
          <w:kern w:val="0"/>
          <w:sz w:val="30"/>
          <w:lang w:val="zh-CN"/>
        </w:rPr>
      </w:pPr>
      <w:r>
        <w:rPr>
          <w:rFonts w:eastAsia="仿宋_GB2312"/>
          <w:color w:val="000000"/>
          <w:kern w:val="0"/>
          <w:sz w:val="30"/>
          <w:lang w:val="zh-CN"/>
        </w:rPr>
        <w:t>产品及产量：主要产品的商品名称或化学名称，及其年生产量；</w:t>
      </w:r>
    </w:p>
    <w:p>
      <w:pPr>
        <w:autoSpaceDE w:val="0"/>
        <w:autoSpaceDN w:val="0"/>
        <w:adjustRightInd w:val="0"/>
        <w:snapToGrid w:val="0"/>
        <w:spacing w:line="336" w:lineRule="auto"/>
        <w:ind w:firstLine="576" w:firstLineChars="200"/>
        <w:rPr>
          <w:rFonts w:eastAsia="仿宋_GB2312"/>
          <w:color w:val="000000"/>
          <w:kern w:val="0"/>
          <w:sz w:val="30"/>
          <w:lang w:val="zh-CN"/>
        </w:rPr>
      </w:pPr>
      <w:r>
        <w:rPr>
          <w:rFonts w:eastAsia="仿宋_GB2312"/>
          <w:color w:val="000000"/>
          <w:kern w:val="0"/>
          <w:sz w:val="30"/>
          <w:lang w:val="zh-CN"/>
        </w:rPr>
        <w:t>生产工艺流程图及工艺说明：流程图中必须标明所有危险废物的产生环节，并辅以必要的文字说明。</w:t>
      </w:r>
    </w:p>
    <w:p>
      <w:pPr>
        <w:autoSpaceDE w:val="0"/>
        <w:autoSpaceDN w:val="0"/>
        <w:adjustRightInd w:val="0"/>
        <w:snapToGrid w:val="0"/>
        <w:spacing w:line="336" w:lineRule="auto"/>
        <w:ind w:firstLine="578" w:firstLineChars="200"/>
        <w:rPr>
          <w:rFonts w:eastAsia="仿宋_GB2312"/>
          <w:b/>
          <w:color w:val="000000"/>
          <w:kern w:val="0"/>
          <w:sz w:val="30"/>
          <w:lang w:val="zh-CN"/>
        </w:rPr>
      </w:pPr>
      <w:r>
        <w:rPr>
          <w:rFonts w:eastAsia="仿宋_GB2312"/>
          <w:b/>
          <w:color w:val="000000"/>
          <w:kern w:val="0"/>
          <w:sz w:val="30"/>
          <w:lang w:val="zh-CN"/>
        </w:rPr>
        <w:t xml:space="preserve">表3 </w:t>
      </w:r>
      <w:r>
        <w:rPr>
          <w:rFonts w:hint="eastAsia" w:eastAsia="仿宋_GB2312"/>
          <w:b/>
          <w:color w:val="000000"/>
          <w:kern w:val="0"/>
          <w:sz w:val="30"/>
          <w:lang w:val="zh-CN"/>
        </w:rPr>
        <w:t>污染防治设施信息表</w:t>
      </w:r>
    </w:p>
    <w:p>
      <w:pPr>
        <w:autoSpaceDE w:val="0"/>
        <w:autoSpaceDN w:val="0"/>
        <w:adjustRightInd w:val="0"/>
        <w:snapToGrid w:val="0"/>
        <w:spacing w:line="336" w:lineRule="auto"/>
        <w:ind w:firstLine="576" w:firstLineChars="200"/>
        <w:rPr>
          <w:rFonts w:hint="eastAsia" w:eastAsia="仿宋_GB2312"/>
          <w:color w:val="000000"/>
          <w:kern w:val="0"/>
          <w:sz w:val="30"/>
          <w:lang w:val="zh-CN"/>
        </w:rPr>
      </w:pPr>
      <w:r>
        <w:rPr>
          <w:rFonts w:eastAsia="仿宋_GB2312"/>
          <w:color w:val="000000"/>
          <w:kern w:val="0"/>
          <w:sz w:val="30"/>
          <w:lang w:val="zh-CN"/>
        </w:rPr>
        <w:t>本表应包括危险废物</w:t>
      </w:r>
      <w:r>
        <w:rPr>
          <w:rFonts w:hint="eastAsia" w:eastAsia="仿宋_GB2312"/>
          <w:color w:val="000000"/>
          <w:kern w:val="0"/>
          <w:sz w:val="30"/>
          <w:lang w:val="en-US" w:eastAsia="zh-CN"/>
        </w:rPr>
        <w:t>利用、处置及贮存设施</w:t>
      </w:r>
      <w:r>
        <w:rPr>
          <w:rFonts w:eastAsia="仿宋_GB2312"/>
          <w:color w:val="000000"/>
          <w:kern w:val="0"/>
          <w:sz w:val="30"/>
          <w:lang w:val="zh-CN"/>
        </w:rPr>
        <w:t>的有关情况</w:t>
      </w:r>
      <w:r>
        <w:rPr>
          <w:rFonts w:hint="eastAsia" w:eastAsia="仿宋_GB2312"/>
          <w:color w:val="000000"/>
          <w:kern w:val="0"/>
          <w:sz w:val="30"/>
          <w:lang w:val="zh-CN"/>
        </w:rPr>
        <w:t>；</w:t>
      </w:r>
    </w:p>
    <w:p>
      <w:pPr>
        <w:autoSpaceDE w:val="0"/>
        <w:autoSpaceDN w:val="0"/>
        <w:adjustRightInd w:val="0"/>
        <w:snapToGrid w:val="0"/>
        <w:spacing w:line="336" w:lineRule="auto"/>
        <w:ind w:firstLine="576" w:firstLineChars="200"/>
        <w:rPr>
          <w:rFonts w:hint="eastAsia" w:eastAsia="仿宋_GB2312"/>
          <w:color w:val="000000"/>
          <w:kern w:val="0"/>
          <w:sz w:val="30"/>
          <w:lang w:val="en-US" w:eastAsia="zh-CN"/>
        </w:rPr>
      </w:pPr>
      <w:r>
        <w:rPr>
          <w:rFonts w:hint="eastAsia" w:eastAsia="仿宋_GB2312"/>
          <w:color w:val="000000"/>
          <w:kern w:val="0"/>
          <w:sz w:val="30"/>
          <w:lang w:val="en-US" w:eastAsia="zh-CN"/>
        </w:rPr>
        <w:t>设施名称：指危险废物自行利用设施、自行处置设施和贮存设施的参数；</w:t>
      </w:r>
    </w:p>
    <w:p>
      <w:pPr>
        <w:autoSpaceDE w:val="0"/>
        <w:autoSpaceDN w:val="0"/>
        <w:adjustRightInd w:val="0"/>
        <w:snapToGrid w:val="0"/>
        <w:spacing w:line="336" w:lineRule="auto"/>
        <w:ind w:firstLine="576" w:firstLineChars="200"/>
        <w:rPr>
          <w:rFonts w:hint="eastAsia" w:eastAsia="仿宋_GB2312"/>
          <w:color w:val="000000"/>
          <w:kern w:val="0"/>
          <w:sz w:val="30"/>
          <w:lang w:val="en-US" w:eastAsia="zh-CN"/>
        </w:rPr>
      </w:pPr>
      <w:r>
        <w:rPr>
          <w:rFonts w:hint="default" w:eastAsia="仿宋_GB2312"/>
          <w:color w:val="000000"/>
          <w:kern w:val="0"/>
          <w:sz w:val="30"/>
          <w:lang w:val="en-US" w:eastAsia="zh-CN"/>
        </w:rPr>
        <w:t>设施编码</w:t>
      </w:r>
      <w:r>
        <w:rPr>
          <w:rFonts w:hint="eastAsia" w:eastAsia="仿宋_GB2312"/>
          <w:color w:val="000000"/>
          <w:kern w:val="0"/>
          <w:sz w:val="30"/>
          <w:lang w:val="en-US" w:eastAsia="zh-CN"/>
        </w:rPr>
        <w:t>：填写排污许可证副本中载明的编码。若无编码，则根据 HJ 608 进行编码并填写。对于产生环节不固定的危险废物，选取其中一个产生该类别危险废物的设施编码填写。企业范围内的设施编码不可重复；</w:t>
      </w:r>
    </w:p>
    <w:p>
      <w:pPr>
        <w:autoSpaceDE w:val="0"/>
        <w:autoSpaceDN w:val="0"/>
        <w:adjustRightInd w:val="0"/>
        <w:snapToGrid w:val="0"/>
        <w:spacing w:line="336" w:lineRule="auto"/>
        <w:ind w:firstLine="576" w:firstLineChars="200"/>
        <w:rPr>
          <w:rFonts w:hint="eastAsia" w:eastAsia="仿宋_GB2312"/>
          <w:color w:val="000000"/>
          <w:kern w:val="0"/>
          <w:sz w:val="30"/>
          <w:lang w:val="en-US" w:eastAsia="zh-CN"/>
        </w:rPr>
      </w:pPr>
      <w:r>
        <w:rPr>
          <w:rFonts w:hint="default" w:eastAsia="仿宋_GB2312"/>
          <w:color w:val="000000"/>
          <w:kern w:val="0"/>
          <w:sz w:val="30"/>
          <w:lang w:val="en-US" w:eastAsia="zh-CN"/>
        </w:rPr>
        <w:t>参数名称</w:t>
      </w:r>
      <w:r>
        <w:rPr>
          <w:rFonts w:hint="eastAsia" w:eastAsia="仿宋_GB2312"/>
          <w:color w:val="000000"/>
          <w:kern w:val="0"/>
          <w:sz w:val="30"/>
          <w:lang w:val="en-US" w:eastAsia="zh-CN"/>
        </w:rPr>
        <w:t>：例如：平均燃烧率、热酌减率、焚毁去除率等；</w:t>
      </w:r>
    </w:p>
    <w:p>
      <w:pPr>
        <w:autoSpaceDE w:val="0"/>
        <w:autoSpaceDN w:val="0"/>
        <w:adjustRightInd w:val="0"/>
        <w:snapToGrid w:val="0"/>
        <w:spacing w:line="336" w:lineRule="auto"/>
        <w:ind w:firstLine="576" w:firstLineChars="200"/>
        <w:rPr>
          <w:rFonts w:hint="eastAsia" w:eastAsia="仿宋_GB2312"/>
          <w:color w:val="000000"/>
          <w:kern w:val="0"/>
          <w:sz w:val="30"/>
          <w:lang w:val="en-US" w:eastAsia="zh-CN"/>
        </w:rPr>
      </w:pPr>
      <w:r>
        <w:rPr>
          <w:rFonts w:hint="default" w:eastAsia="仿宋_GB2312"/>
          <w:color w:val="000000"/>
          <w:kern w:val="0"/>
          <w:sz w:val="30"/>
          <w:lang w:val="en-US" w:eastAsia="zh-CN"/>
        </w:rPr>
        <w:t>设计值</w:t>
      </w:r>
      <w:r>
        <w:rPr>
          <w:rFonts w:hint="eastAsia" w:eastAsia="仿宋_GB2312"/>
          <w:color w:val="000000"/>
          <w:kern w:val="0"/>
          <w:sz w:val="30"/>
          <w:lang w:val="en-US" w:eastAsia="zh-CN"/>
        </w:rPr>
        <w:t>：如储罐参数包括尺寸、运行时间等。焚烧炉参数包括平均燃烧率、焚毁去除率等。</w:t>
      </w:r>
    </w:p>
    <w:p>
      <w:pPr>
        <w:autoSpaceDE w:val="0"/>
        <w:autoSpaceDN w:val="0"/>
        <w:adjustRightInd w:val="0"/>
        <w:snapToGrid w:val="0"/>
        <w:spacing w:line="336" w:lineRule="auto"/>
        <w:ind w:firstLine="578" w:firstLineChars="200"/>
        <w:rPr>
          <w:rFonts w:hint="default" w:eastAsia="仿宋_GB2312"/>
          <w:b/>
          <w:color w:val="000000"/>
          <w:kern w:val="0"/>
          <w:sz w:val="30"/>
          <w:lang w:val="en-US" w:eastAsia="zh-CN"/>
        </w:rPr>
      </w:pPr>
      <w:r>
        <w:rPr>
          <w:rFonts w:hint="default" w:eastAsia="仿宋_GB2312"/>
          <w:b/>
          <w:color w:val="000000"/>
          <w:kern w:val="0"/>
          <w:sz w:val="30"/>
          <w:lang w:val="en-US" w:eastAsia="zh-CN"/>
        </w:rPr>
        <w:t>表4  危废产生情况信息表</w:t>
      </w:r>
    </w:p>
    <w:p>
      <w:pPr>
        <w:autoSpaceDE w:val="0"/>
        <w:autoSpaceDN w:val="0"/>
        <w:adjustRightInd w:val="0"/>
        <w:snapToGrid w:val="0"/>
        <w:spacing w:line="336" w:lineRule="auto"/>
        <w:ind w:firstLine="576" w:firstLineChars="200"/>
        <w:rPr>
          <w:rFonts w:eastAsia="仿宋_GB2312"/>
          <w:color w:val="000000"/>
          <w:kern w:val="0"/>
          <w:sz w:val="30"/>
          <w:lang w:val="zh-CN"/>
        </w:rPr>
      </w:pPr>
      <w:r>
        <w:rPr>
          <w:rFonts w:eastAsia="仿宋_GB2312"/>
          <w:color w:val="000000"/>
          <w:kern w:val="0"/>
          <w:sz w:val="30"/>
          <w:lang w:val="zh-CN"/>
        </w:rPr>
        <w:t>废物名称、废物代码、废物类别：根据《国家危险废物名录》中对应的废物名称、代码和类别填写，如某化工厂在生产四氯化碳过程中产生蒸馏残渣，则废物名称为</w:t>
      </w:r>
      <w:r>
        <w:rPr>
          <w:rFonts w:hint="eastAsia" w:eastAsia="仿宋_GB2312"/>
          <w:color w:val="000000"/>
          <w:kern w:val="0"/>
          <w:sz w:val="30"/>
          <w:lang w:val="zh-CN"/>
        </w:rPr>
        <w:t>“</w:t>
      </w:r>
      <w:r>
        <w:rPr>
          <w:rFonts w:eastAsia="仿宋_GB2312"/>
          <w:color w:val="000000"/>
          <w:kern w:val="0"/>
          <w:sz w:val="30"/>
          <w:lang w:val="zh-CN"/>
        </w:rPr>
        <w:t>四氯化碳生产过程中产生的蒸馏残渣</w:t>
      </w:r>
      <w:r>
        <w:rPr>
          <w:rFonts w:hint="eastAsia" w:eastAsia="仿宋_GB2312"/>
          <w:color w:val="000000"/>
          <w:kern w:val="0"/>
          <w:sz w:val="30"/>
          <w:lang w:val="zh-CN"/>
        </w:rPr>
        <w:t>”</w:t>
      </w:r>
      <w:r>
        <w:rPr>
          <w:rFonts w:eastAsia="仿宋_GB2312"/>
          <w:color w:val="000000"/>
          <w:kern w:val="0"/>
          <w:sz w:val="30"/>
          <w:lang w:val="zh-CN"/>
        </w:rPr>
        <w:t>，废物代码为</w:t>
      </w:r>
      <w:r>
        <w:rPr>
          <w:rFonts w:hint="eastAsia" w:eastAsia="仿宋_GB2312"/>
          <w:color w:val="000000"/>
          <w:kern w:val="0"/>
          <w:sz w:val="30"/>
          <w:lang w:val="zh-CN"/>
        </w:rPr>
        <w:t>“</w:t>
      </w:r>
      <w:r>
        <w:rPr>
          <w:rFonts w:eastAsia="仿宋_GB2312"/>
          <w:color w:val="000000"/>
          <w:kern w:val="0"/>
          <w:sz w:val="30"/>
          <w:lang w:val="zh-CN"/>
        </w:rPr>
        <w:t>261-010-11</w:t>
      </w:r>
      <w:r>
        <w:rPr>
          <w:rFonts w:hint="eastAsia" w:eastAsia="仿宋_GB2312"/>
          <w:color w:val="000000"/>
          <w:kern w:val="0"/>
          <w:sz w:val="30"/>
          <w:lang w:val="zh-CN"/>
        </w:rPr>
        <w:t>”</w:t>
      </w:r>
      <w:r>
        <w:rPr>
          <w:rFonts w:eastAsia="仿宋_GB2312"/>
          <w:color w:val="000000"/>
          <w:kern w:val="0"/>
          <w:sz w:val="30"/>
          <w:lang w:val="zh-CN"/>
        </w:rPr>
        <w:t>，废物类别为</w:t>
      </w:r>
      <w:r>
        <w:rPr>
          <w:rFonts w:hint="eastAsia" w:eastAsia="仿宋_GB2312"/>
          <w:color w:val="000000"/>
          <w:kern w:val="0"/>
          <w:sz w:val="30"/>
          <w:lang w:val="zh-CN"/>
        </w:rPr>
        <w:t>“</w:t>
      </w:r>
      <w:r>
        <w:rPr>
          <w:rFonts w:eastAsia="仿宋_GB2312"/>
          <w:color w:val="000000"/>
          <w:kern w:val="0"/>
          <w:sz w:val="30"/>
          <w:lang w:val="zh-CN"/>
        </w:rPr>
        <w:t>HW11精（蒸）馏残渣</w:t>
      </w:r>
      <w:r>
        <w:rPr>
          <w:rFonts w:hint="eastAsia" w:eastAsia="仿宋_GB2312"/>
          <w:color w:val="000000"/>
          <w:kern w:val="0"/>
          <w:sz w:val="30"/>
          <w:lang w:val="zh-CN"/>
        </w:rPr>
        <w:t>”</w:t>
      </w:r>
      <w:r>
        <w:rPr>
          <w:rFonts w:eastAsia="仿宋_GB2312"/>
          <w:color w:val="000000"/>
          <w:kern w:val="0"/>
          <w:sz w:val="30"/>
          <w:lang w:val="zh-CN"/>
        </w:rPr>
        <w:t>；</w:t>
      </w:r>
    </w:p>
    <w:p>
      <w:pPr>
        <w:autoSpaceDE w:val="0"/>
        <w:autoSpaceDN w:val="0"/>
        <w:adjustRightInd w:val="0"/>
        <w:snapToGrid w:val="0"/>
        <w:spacing w:line="336" w:lineRule="auto"/>
        <w:ind w:firstLine="576" w:firstLineChars="200"/>
        <w:rPr>
          <w:rFonts w:eastAsia="仿宋_GB2312"/>
          <w:color w:val="000000"/>
          <w:kern w:val="0"/>
          <w:sz w:val="30"/>
          <w:lang w:val="zh-CN"/>
        </w:rPr>
      </w:pPr>
      <w:r>
        <w:rPr>
          <w:rFonts w:eastAsia="仿宋_GB2312"/>
          <w:color w:val="000000"/>
          <w:kern w:val="0"/>
          <w:sz w:val="30"/>
          <w:lang w:val="zh-CN"/>
        </w:rPr>
        <w:t>有害物质名称：废物中的有害物质名称（每种废物可包含多种有害物质）；</w:t>
      </w:r>
    </w:p>
    <w:p>
      <w:pPr>
        <w:autoSpaceDE w:val="0"/>
        <w:autoSpaceDN w:val="0"/>
        <w:adjustRightInd w:val="0"/>
        <w:snapToGrid w:val="0"/>
        <w:spacing w:line="336" w:lineRule="auto"/>
        <w:ind w:firstLine="576" w:firstLineChars="200"/>
        <w:rPr>
          <w:rFonts w:eastAsia="仿宋_GB2312"/>
          <w:color w:val="000000"/>
          <w:kern w:val="0"/>
          <w:sz w:val="30"/>
          <w:lang w:val="zh-CN"/>
        </w:rPr>
      </w:pPr>
      <w:r>
        <w:rPr>
          <w:rFonts w:eastAsia="仿宋_GB2312"/>
          <w:color w:val="000000"/>
          <w:kern w:val="0"/>
          <w:sz w:val="30"/>
          <w:lang w:val="zh-CN"/>
        </w:rPr>
        <w:t>物理性状：废物在常温、常压下的物理状态，包括固态（固态废物，S）、半固态（泥态废物，SS）、液态（高浓度液态废物，L）、气态（置于容器中的气态废物，G）等；</w:t>
      </w:r>
    </w:p>
    <w:p>
      <w:pPr>
        <w:autoSpaceDE w:val="0"/>
        <w:autoSpaceDN w:val="0"/>
        <w:adjustRightInd w:val="0"/>
        <w:snapToGrid w:val="0"/>
        <w:spacing w:line="336" w:lineRule="auto"/>
        <w:ind w:firstLine="576" w:firstLineChars="200"/>
        <w:rPr>
          <w:rFonts w:eastAsia="仿宋_GB2312"/>
          <w:color w:val="000000"/>
          <w:kern w:val="0"/>
          <w:sz w:val="30"/>
          <w:lang w:val="zh-CN"/>
        </w:rPr>
      </w:pPr>
      <w:r>
        <w:rPr>
          <w:rFonts w:eastAsia="仿宋_GB2312"/>
          <w:color w:val="000000"/>
          <w:kern w:val="0"/>
          <w:sz w:val="30"/>
          <w:lang w:val="zh-CN"/>
        </w:rPr>
        <w:t>危险特性：根据《国家危险废物名录》和《危险废物鉴别标准》中规定的危害特性填写，包括</w:t>
      </w:r>
      <w:r>
        <w:rPr>
          <w:rFonts w:hint="eastAsia" w:eastAsia="仿宋_GB2312"/>
          <w:color w:val="000000"/>
          <w:kern w:val="0"/>
          <w:sz w:val="30"/>
          <w:lang w:val="zh-CN"/>
        </w:rPr>
        <w:t>“</w:t>
      </w:r>
      <w:r>
        <w:rPr>
          <w:rFonts w:eastAsia="仿宋_GB2312"/>
          <w:color w:val="000000"/>
          <w:kern w:val="0"/>
          <w:sz w:val="30"/>
          <w:lang w:val="zh-CN"/>
        </w:rPr>
        <w:t>腐蚀性</w:t>
      </w:r>
      <w:r>
        <w:rPr>
          <w:rFonts w:hint="eastAsia" w:eastAsia="仿宋_GB2312"/>
          <w:color w:val="000000"/>
          <w:kern w:val="0"/>
          <w:sz w:val="30"/>
          <w:lang w:val="zh-CN"/>
        </w:rPr>
        <w:t>”“</w:t>
      </w:r>
      <w:r>
        <w:rPr>
          <w:rFonts w:eastAsia="仿宋_GB2312"/>
          <w:color w:val="000000"/>
          <w:kern w:val="0"/>
          <w:sz w:val="30"/>
          <w:lang w:val="zh-CN"/>
        </w:rPr>
        <w:t>毒性</w:t>
      </w:r>
      <w:r>
        <w:rPr>
          <w:rFonts w:hint="eastAsia" w:eastAsia="仿宋_GB2312"/>
          <w:color w:val="000000"/>
          <w:kern w:val="0"/>
          <w:sz w:val="30"/>
          <w:lang w:val="zh-CN"/>
        </w:rPr>
        <w:t>”“</w:t>
      </w:r>
      <w:r>
        <w:rPr>
          <w:rFonts w:eastAsia="仿宋_GB2312"/>
          <w:color w:val="000000"/>
          <w:kern w:val="0"/>
          <w:sz w:val="30"/>
          <w:lang w:val="zh-CN"/>
        </w:rPr>
        <w:t>易燃性</w:t>
      </w:r>
      <w:r>
        <w:rPr>
          <w:rFonts w:hint="eastAsia" w:eastAsia="仿宋_GB2312"/>
          <w:color w:val="000000"/>
          <w:kern w:val="0"/>
          <w:sz w:val="30"/>
          <w:lang w:val="zh-CN"/>
        </w:rPr>
        <w:t>”“</w:t>
      </w:r>
      <w:r>
        <w:rPr>
          <w:rFonts w:eastAsia="仿宋_GB2312"/>
          <w:color w:val="000000"/>
          <w:kern w:val="0"/>
          <w:sz w:val="30"/>
          <w:lang w:val="zh-CN"/>
        </w:rPr>
        <w:t>反应性</w:t>
      </w:r>
      <w:r>
        <w:rPr>
          <w:rFonts w:hint="eastAsia" w:eastAsia="仿宋_GB2312"/>
          <w:color w:val="000000"/>
          <w:kern w:val="0"/>
          <w:sz w:val="30"/>
          <w:lang w:val="zh-CN"/>
        </w:rPr>
        <w:t>”</w:t>
      </w:r>
      <w:r>
        <w:rPr>
          <w:rFonts w:eastAsia="仿宋_GB2312"/>
          <w:color w:val="000000"/>
          <w:kern w:val="0"/>
          <w:sz w:val="30"/>
          <w:lang w:val="zh-CN"/>
        </w:rPr>
        <w:t>和</w:t>
      </w:r>
      <w:r>
        <w:rPr>
          <w:rFonts w:hint="eastAsia" w:eastAsia="仿宋_GB2312"/>
          <w:color w:val="000000"/>
          <w:kern w:val="0"/>
          <w:sz w:val="30"/>
          <w:lang w:val="zh-CN"/>
        </w:rPr>
        <w:t>“</w:t>
      </w:r>
      <w:r>
        <w:rPr>
          <w:rFonts w:eastAsia="仿宋_GB2312"/>
          <w:color w:val="000000"/>
          <w:kern w:val="0"/>
          <w:sz w:val="30"/>
          <w:lang w:val="zh-CN"/>
        </w:rPr>
        <w:t>感染性</w:t>
      </w:r>
      <w:r>
        <w:rPr>
          <w:rFonts w:hint="eastAsia" w:eastAsia="仿宋_GB2312"/>
          <w:color w:val="000000"/>
          <w:kern w:val="0"/>
          <w:sz w:val="30"/>
          <w:lang w:val="zh-CN"/>
        </w:rPr>
        <w:t>”</w:t>
      </w:r>
      <w:r>
        <w:rPr>
          <w:rFonts w:eastAsia="仿宋_GB2312"/>
          <w:color w:val="000000"/>
          <w:kern w:val="0"/>
          <w:sz w:val="30"/>
          <w:lang w:val="zh-CN"/>
        </w:rPr>
        <w:t>等；</w:t>
      </w:r>
    </w:p>
    <w:p>
      <w:pPr>
        <w:autoSpaceDE w:val="0"/>
        <w:autoSpaceDN w:val="0"/>
        <w:adjustRightInd w:val="0"/>
        <w:snapToGrid w:val="0"/>
        <w:spacing w:line="336" w:lineRule="auto"/>
        <w:ind w:firstLine="576" w:firstLineChars="200"/>
        <w:rPr>
          <w:rFonts w:eastAsia="仿宋_GB2312"/>
          <w:color w:val="000000"/>
          <w:kern w:val="0"/>
          <w:sz w:val="30"/>
          <w:lang w:val="zh-CN"/>
        </w:rPr>
      </w:pPr>
      <w:r>
        <w:rPr>
          <w:rFonts w:eastAsia="仿宋_GB2312"/>
          <w:color w:val="000000"/>
          <w:kern w:val="0"/>
          <w:sz w:val="30"/>
          <w:lang w:val="zh-CN"/>
        </w:rPr>
        <w:t>本年度计划产生量：计划期限内的危险废物产生量，计量单位为吨，以升、立方米等体积计量的，应折算成重量吨；以个数作为计量单位的，除填写个数外，还应折算成重量吨；半固态危险废物（如电镀污泥等），以脱水后的干泥重量计；</w:t>
      </w:r>
    </w:p>
    <w:p>
      <w:pPr>
        <w:autoSpaceDE w:val="0"/>
        <w:autoSpaceDN w:val="0"/>
        <w:adjustRightInd w:val="0"/>
        <w:snapToGrid w:val="0"/>
        <w:spacing w:line="336" w:lineRule="auto"/>
        <w:ind w:firstLine="576" w:firstLineChars="200"/>
        <w:rPr>
          <w:rFonts w:eastAsia="仿宋_GB2312"/>
          <w:color w:val="000000"/>
          <w:kern w:val="0"/>
          <w:sz w:val="30"/>
          <w:lang w:val="zh-CN"/>
        </w:rPr>
      </w:pPr>
      <w:r>
        <w:rPr>
          <w:rFonts w:eastAsia="仿宋_GB2312"/>
          <w:color w:val="000000"/>
          <w:kern w:val="0"/>
          <w:sz w:val="30"/>
          <w:lang w:val="zh-CN"/>
        </w:rPr>
        <w:t>上年度产生量：计划期限上一年度的危险废物产生量，计量单位为吨，以升、立方米等体积计量的，应折算成重量吨；以个数作为计量单位的，除填写个数外，还应折算成重量吨；半固态危险废物（如电镀污泥等），以脱水后的干泥重量计；</w:t>
      </w:r>
    </w:p>
    <w:p>
      <w:pPr>
        <w:autoSpaceDE w:val="0"/>
        <w:autoSpaceDN w:val="0"/>
        <w:adjustRightInd w:val="0"/>
        <w:snapToGrid w:val="0"/>
        <w:spacing w:line="336" w:lineRule="auto"/>
        <w:ind w:firstLine="576" w:firstLineChars="200"/>
        <w:rPr>
          <w:rFonts w:eastAsia="仿宋_GB2312"/>
          <w:color w:val="000000"/>
          <w:kern w:val="0"/>
          <w:sz w:val="30"/>
          <w:lang w:val="zh-CN"/>
        </w:rPr>
      </w:pPr>
      <w:r>
        <w:rPr>
          <w:rFonts w:eastAsia="仿宋_GB2312"/>
          <w:color w:val="000000"/>
          <w:kern w:val="0"/>
          <w:sz w:val="30"/>
          <w:lang w:val="zh-CN"/>
        </w:rPr>
        <w:t>来源及产生工序：产生该种废物的部门、车间名称及其相应产生工段、工序名称。</w:t>
      </w:r>
    </w:p>
    <w:p>
      <w:pPr>
        <w:autoSpaceDE w:val="0"/>
        <w:autoSpaceDN w:val="0"/>
        <w:adjustRightInd w:val="0"/>
        <w:snapToGrid w:val="0"/>
        <w:spacing w:line="336" w:lineRule="auto"/>
        <w:ind w:firstLine="576" w:firstLineChars="200"/>
        <w:rPr>
          <w:rFonts w:hint="eastAsia" w:eastAsia="仿宋_GB2312"/>
          <w:color w:val="000000"/>
          <w:kern w:val="0"/>
          <w:sz w:val="30"/>
          <w:lang w:val="zh-CN"/>
        </w:rPr>
      </w:pPr>
      <w:r>
        <w:rPr>
          <w:rFonts w:hint="eastAsia" w:eastAsia="仿宋_GB2312"/>
          <w:color w:val="000000"/>
          <w:kern w:val="0"/>
          <w:sz w:val="30"/>
          <w:lang w:val="en-US" w:eastAsia="zh-CN"/>
        </w:rPr>
        <w:t>生产</w:t>
      </w:r>
      <w:r>
        <w:rPr>
          <w:rFonts w:hint="eastAsia" w:eastAsia="仿宋_GB2312"/>
          <w:color w:val="000000"/>
          <w:kern w:val="0"/>
          <w:sz w:val="30"/>
          <w:lang w:val="zh-CN"/>
        </w:rPr>
        <w:t>设施编码：管理计划-生产设施中</w:t>
      </w:r>
      <w:r>
        <w:rPr>
          <w:rFonts w:hint="eastAsia" w:eastAsia="仿宋_GB2312"/>
          <w:color w:val="000000"/>
          <w:kern w:val="0"/>
          <w:sz w:val="30"/>
          <w:lang w:val="en-US" w:eastAsia="zh-CN"/>
        </w:rPr>
        <w:t>填写</w:t>
      </w:r>
      <w:r>
        <w:rPr>
          <w:rFonts w:hint="eastAsia" w:eastAsia="仿宋_GB2312"/>
          <w:color w:val="000000"/>
          <w:kern w:val="0"/>
          <w:sz w:val="30"/>
          <w:lang w:val="zh-CN"/>
        </w:rPr>
        <w:t>的设施编码。危险废物环境重点监管单位必填。设施名称通过设施编码从</w:t>
      </w:r>
      <w:r>
        <w:rPr>
          <w:rFonts w:hint="eastAsia" w:eastAsia="仿宋_GB2312"/>
          <w:color w:val="000000"/>
          <w:kern w:val="0"/>
          <w:sz w:val="30"/>
          <w:lang w:val="en-US" w:eastAsia="zh-CN"/>
        </w:rPr>
        <w:t>表</w:t>
      </w:r>
      <w:r>
        <w:rPr>
          <w:rFonts w:hint="eastAsia" w:eastAsia="仿宋_GB2312"/>
          <w:color w:val="000000"/>
          <w:kern w:val="0"/>
          <w:sz w:val="30"/>
          <w:lang w:val="zh-CN"/>
        </w:rPr>
        <w:t>2生产设施中关联；</w:t>
      </w:r>
    </w:p>
    <w:p>
      <w:pPr>
        <w:autoSpaceDE w:val="0"/>
        <w:autoSpaceDN w:val="0"/>
        <w:adjustRightInd w:val="0"/>
        <w:snapToGrid w:val="0"/>
        <w:spacing w:line="336" w:lineRule="auto"/>
        <w:ind w:firstLine="576" w:firstLineChars="200"/>
        <w:rPr>
          <w:rFonts w:hint="eastAsia" w:eastAsia="仿宋_GB2312"/>
          <w:color w:val="000000"/>
          <w:kern w:val="0"/>
          <w:sz w:val="30"/>
          <w:lang w:val="en-US" w:eastAsia="zh-CN"/>
        </w:rPr>
      </w:pPr>
      <w:r>
        <w:rPr>
          <w:rFonts w:hint="eastAsia" w:eastAsia="仿宋_GB2312"/>
          <w:color w:val="000000"/>
          <w:kern w:val="0"/>
          <w:sz w:val="30"/>
          <w:lang w:val="en-US" w:eastAsia="zh-CN"/>
        </w:rPr>
        <w:t>内部治理方式及去向：依据污染防治设施编码填写。设施设计能力通过设施编码从表3污染防治设施中关联。</w:t>
      </w:r>
    </w:p>
    <w:p>
      <w:pPr>
        <w:autoSpaceDE w:val="0"/>
        <w:autoSpaceDN w:val="0"/>
        <w:adjustRightInd w:val="0"/>
        <w:snapToGrid w:val="0"/>
        <w:spacing w:line="336" w:lineRule="auto"/>
        <w:ind w:firstLine="578" w:firstLineChars="200"/>
        <w:rPr>
          <w:rFonts w:eastAsia="仿宋_GB2312"/>
          <w:b/>
          <w:color w:val="000000"/>
          <w:kern w:val="0"/>
          <w:sz w:val="30"/>
          <w:lang w:val="zh-CN"/>
        </w:rPr>
      </w:pPr>
      <w:r>
        <w:rPr>
          <w:rFonts w:eastAsia="仿宋_GB2312"/>
          <w:b/>
          <w:color w:val="000000"/>
          <w:kern w:val="0"/>
          <w:sz w:val="30"/>
          <w:lang w:val="zh-CN"/>
        </w:rPr>
        <w:t xml:space="preserve">表 </w:t>
      </w:r>
      <w:r>
        <w:rPr>
          <w:rFonts w:hint="eastAsia" w:eastAsia="仿宋_GB2312"/>
          <w:b/>
          <w:color w:val="000000"/>
          <w:kern w:val="0"/>
          <w:sz w:val="30"/>
          <w:lang w:val="en-US" w:eastAsia="zh-CN"/>
        </w:rPr>
        <w:t>5</w:t>
      </w:r>
      <w:r>
        <w:rPr>
          <w:rFonts w:eastAsia="仿宋_GB2312"/>
          <w:b/>
          <w:color w:val="000000"/>
          <w:kern w:val="0"/>
          <w:sz w:val="30"/>
          <w:lang w:val="zh-CN"/>
        </w:rPr>
        <w:t xml:space="preserve">  危险废物贮存情况信息表</w:t>
      </w:r>
    </w:p>
    <w:p>
      <w:pPr>
        <w:autoSpaceDE w:val="0"/>
        <w:autoSpaceDN w:val="0"/>
        <w:adjustRightInd w:val="0"/>
        <w:snapToGrid w:val="0"/>
        <w:spacing w:line="336" w:lineRule="auto"/>
        <w:ind w:firstLine="576" w:firstLineChars="200"/>
        <w:rPr>
          <w:rFonts w:hint="eastAsia" w:eastAsia="仿宋_GB2312"/>
          <w:color w:val="000000"/>
          <w:kern w:val="0"/>
          <w:sz w:val="30"/>
          <w:lang w:val="zh-CN" w:eastAsia="zh-CN"/>
        </w:rPr>
      </w:pPr>
      <w:r>
        <w:rPr>
          <w:rFonts w:hint="eastAsia" w:eastAsia="仿宋_GB2312"/>
          <w:color w:val="000000"/>
          <w:kern w:val="0"/>
          <w:sz w:val="30"/>
          <w:lang w:val="zh-CN" w:eastAsia="zh-CN"/>
        </w:rPr>
        <w:t>设施编码：依据设施工况中污染防治设施编码填写。设施名称通过设施编码从</w:t>
      </w:r>
      <w:r>
        <w:rPr>
          <w:rFonts w:hint="eastAsia" w:eastAsia="仿宋_GB2312"/>
          <w:color w:val="000000"/>
          <w:kern w:val="0"/>
          <w:sz w:val="30"/>
          <w:lang w:val="en-US" w:eastAsia="zh-CN"/>
        </w:rPr>
        <w:t>表</w:t>
      </w:r>
      <w:r>
        <w:rPr>
          <w:rFonts w:hint="eastAsia" w:eastAsia="仿宋_GB2312"/>
          <w:color w:val="000000"/>
          <w:kern w:val="0"/>
          <w:sz w:val="30"/>
          <w:lang w:val="zh-CN" w:eastAsia="zh-CN"/>
        </w:rPr>
        <w:t>3污染防治设施中关联；</w:t>
      </w:r>
    </w:p>
    <w:p>
      <w:pPr>
        <w:autoSpaceDE w:val="0"/>
        <w:autoSpaceDN w:val="0"/>
        <w:adjustRightInd w:val="0"/>
        <w:snapToGrid w:val="0"/>
        <w:spacing w:line="336" w:lineRule="auto"/>
        <w:ind w:firstLine="576" w:firstLineChars="200"/>
        <w:rPr>
          <w:rFonts w:hint="eastAsia" w:eastAsia="仿宋_GB2312"/>
          <w:color w:val="000000"/>
          <w:kern w:val="0"/>
          <w:sz w:val="30"/>
          <w:lang w:val="zh-CN"/>
        </w:rPr>
      </w:pPr>
      <w:r>
        <w:rPr>
          <w:rFonts w:eastAsia="仿宋_GB2312"/>
          <w:color w:val="000000"/>
          <w:kern w:val="0"/>
          <w:sz w:val="30"/>
          <w:lang w:val="zh-CN"/>
        </w:rPr>
        <w:t>贮存措施：废物收集、贮存相关环保制度的执行情况，根据实际情况勾选，同时填写废物的贮存设施现状及贮存情况，贮存方面的相关要求，如数量、面积以及采取的污染防治措施</w:t>
      </w:r>
      <w:r>
        <w:rPr>
          <w:rFonts w:hint="eastAsia" w:eastAsia="仿宋_GB2312"/>
          <w:color w:val="000000"/>
          <w:kern w:val="0"/>
          <w:sz w:val="30"/>
          <w:lang w:val="zh-CN"/>
        </w:rPr>
        <w:t>。</w:t>
      </w:r>
    </w:p>
    <w:p>
      <w:pPr>
        <w:autoSpaceDE w:val="0"/>
        <w:autoSpaceDN w:val="0"/>
        <w:adjustRightInd w:val="0"/>
        <w:snapToGrid w:val="0"/>
        <w:spacing w:line="336" w:lineRule="auto"/>
        <w:ind w:firstLine="578" w:firstLineChars="200"/>
        <w:rPr>
          <w:rFonts w:eastAsia="仿宋_GB2312"/>
          <w:b/>
          <w:color w:val="000000"/>
          <w:kern w:val="0"/>
          <w:sz w:val="30"/>
          <w:lang w:val="zh-CN"/>
        </w:rPr>
      </w:pPr>
      <w:r>
        <w:rPr>
          <w:rFonts w:eastAsia="仿宋_GB2312"/>
          <w:b/>
          <w:color w:val="000000"/>
          <w:kern w:val="0"/>
          <w:sz w:val="30"/>
          <w:lang w:val="zh-CN"/>
        </w:rPr>
        <w:t>表6 危险废物自行利用/处置措施</w:t>
      </w:r>
    </w:p>
    <w:p>
      <w:pPr>
        <w:autoSpaceDE w:val="0"/>
        <w:autoSpaceDN w:val="0"/>
        <w:adjustRightInd w:val="0"/>
        <w:snapToGrid w:val="0"/>
        <w:spacing w:line="336" w:lineRule="auto"/>
        <w:ind w:firstLine="576" w:firstLineChars="200"/>
        <w:rPr>
          <w:rFonts w:eastAsia="仿宋_GB2312"/>
          <w:color w:val="000000"/>
          <w:kern w:val="0"/>
          <w:sz w:val="30"/>
          <w:lang w:val="zh-CN"/>
        </w:rPr>
      </w:pPr>
      <w:r>
        <w:rPr>
          <w:rFonts w:eastAsia="仿宋_GB2312"/>
          <w:color w:val="000000"/>
          <w:kern w:val="0"/>
          <w:sz w:val="30"/>
          <w:lang w:val="zh-CN"/>
        </w:rPr>
        <w:t>建有危险废物自行利用处置设施的均需填写本表，每座设施分别填写一份。设有自行利用设施的，在表头的利用下划√；设有处置设施的，在表头的处置下划√</w:t>
      </w:r>
      <w:r>
        <w:rPr>
          <w:rFonts w:hint="eastAsia" w:eastAsia="仿宋_GB2312"/>
          <w:color w:val="000000"/>
          <w:kern w:val="0"/>
          <w:sz w:val="30"/>
          <w:lang w:val="zh-CN"/>
        </w:rPr>
        <w:t>；</w:t>
      </w:r>
    </w:p>
    <w:p>
      <w:pPr>
        <w:autoSpaceDE w:val="0"/>
        <w:autoSpaceDN w:val="0"/>
        <w:adjustRightInd w:val="0"/>
        <w:snapToGrid w:val="0"/>
        <w:spacing w:line="336" w:lineRule="auto"/>
        <w:ind w:firstLine="576" w:firstLineChars="200"/>
        <w:rPr>
          <w:rFonts w:eastAsia="仿宋_GB2312"/>
          <w:color w:val="000000"/>
          <w:kern w:val="0"/>
          <w:sz w:val="30"/>
          <w:lang w:val="zh-CN"/>
        </w:rPr>
      </w:pPr>
      <w:r>
        <w:rPr>
          <w:rFonts w:eastAsia="仿宋_GB2312"/>
          <w:color w:val="000000"/>
          <w:kern w:val="0"/>
          <w:sz w:val="30"/>
          <w:lang w:val="zh-CN"/>
        </w:rPr>
        <w:t>自行利用危险废物产生相应副产品的，应将相应副产品的质量检验检测报告复印件作为本管理计划表的附件一并装订成册，该检测报告必须由质监部门认定的产品质量检测单位出具</w:t>
      </w:r>
      <w:r>
        <w:rPr>
          <w:rFonts w:hint="eastAsia" w:eastAsia="仿宋_GB2312"/>
          <w:color w:val="000000"/>
          <w:kern w:val="0"/>
          <w:sz w:val="30"/>
          <w:lang w:val="zh-CN"/>
        </w:rPr>
        <w:t>；</w:t>
      </w:r>
    </w:p>
    <w:p>
      <w:pPr>
        <w:autoSpaceDE w:val="0"/>
        <w:autoSpaceDN w:val="0"/>
        <w:adjustRightInd w:val="0"/>
        <w:snapToGrid w:val="0"/>
        <w:spacing w:line="336" w:lineRule="auto"/>
        <w:ind w:firstLine="576" w:firstLineChars="200"/>
        <w:rPr>
          <w:rFonts w:eastAsia="仿宋_GB2312"/>
          <w:color w:val="000000"/>
          <w:kern w:val="0"/>
          <w:sz w:val="30"/>
          <w:lang w:val="zh-CN"/>
        </w:rPr>
      </w:pPr>
      <w:r>
        <w:rPr>
          <w:rFonts w:eastAsia="仿宋_GB2312"/>
          <w:color w:val="000000"/>
          <w:kern w:val="0"/>
          <w:sz w:val="30"/>
          <w:lang w:val="zh-CN"/>
        </w:rPr>
        <w:t>设施名称：利用处置危险废物的设施名称，如</w:t>
      </w:r>
      <w:r>
        <w:rPr>
          <w:rFonts w:hint="eastAsia" w:eastAsia="仿宋_GB2312"/>
          <w:color w:val="000000"/>
          <w:kern w:val="0"/>
          <w:sz w:val="30"/>
          <w:lang w:val="zh-CN"/>
        </w:rPr>
        <w:t>“</w:t>
      </w:r>
      <w:r>
        <w:rPr>
          <w:rFonts w:eastAsia="仿宋_GB2312"/>
          <w:color w:val="000000"/>
          <w:kern w:val="0"/>
          <w:sz w:val="30"/>
          <w:lang w:val="zh-CN"/>
        </w:rPr>
        <w:t>采油泥沙焚烧设施</w:t>
      </w:r>
      <w:r>
        <w:rPr>
          <w:rFonts w:hint="eastAsia" w:ascii="仿宋_GB2312" w:eastAsia="仿宋_GB2312"/>
          <w:color w:val="000000"/>
          <w:kern w:val="0"/>
          <w:sz w:val="30"/>
          <w:lang w:val="zh-CN"/>
        </w:rPr>
        <w:t>”“</w:t>
      </w:r>
      <w:r>
        <w:rPr>
          <w:rFonts w:eastAsia="仿宋_GB2312"/>
          <w:color w:val="000000"/>
          <w:kern w:val="0"/>
          <w:sz w:val="30"/>
          <w:lang w:val="zh-CN"/>
        </w:rPr>
        <w:t>废溶剂回收设施</w:t>
      </w:r>
      <w:r>
        <w:rPr>
          <w:rFonts w:hint="eastAsia" w:eastAsia="仿宋_GB2312"/>
          <w:color w:val="000000"/>
          <w:kern w:val="0"/>
          <w:sz w:val="30"/>
          <w:lang w:val="zh-CN"/>
        </w:rPr>
        <w:t>”“</w:t>
      </w:r>
      <w:r>
        <w:rPr>
          <w:rFonts w:eastAsia="仿宋_GB2312"/>
          <w:color w:val="000000"/>
          <w:kern w:val="0"/>
          <w:sz w:val="30"/>
          <w:lang w:val="zh-CN"/>
        </w:rPr>
        <w:t>废酸处理设施</w:t>
      </w:r>
      <w:r>
        <w:rPr>
          <w:rFonts w:hint="eastAsia" w:eastAsia="仿宋_GB2312"/>
          <w:color w:val="000000"/>
          <w:kern w:val="0"/>
          <w:sz w:val="30"/>
          <w:lang w:val="zh-CN"/>
        </w:rPr>
        <w:t>”“</w:t>
      </w:r>
      <w:r>
        <w:rPr>
          <w:rFonts w:eastAsia="仿宋_GB2312"/>
          <w:color w:val="000000"/>
          <w:kern w:val="0"/>
          <w:sz w:val="30"/>
          <w:lang w:val="zh-CN"/>
        </w:rPr>
        <w:t>贵金属回收设施</w:t>
      </w:r>
      <w:r>
        <w:rPr>
          <w:rFonts w:hint="eastAsia" w:eastAsia="仿宋_GB2312"/>
          <w:color w:val="000000"/>
          <w:kern w:val="0"/>
          <w:sz w:val="30"/>
          <w:lang w:val="zh-CN"/>
        </w:rPr>
        <w:t>”“</w:t>
      </w:r>
      <w:r>
        <w:rPr>
          <w:rFonts w:eastAsia="仿宋_GB2312"/>
          <w:color w:val="000000"/>
          <w:kern w:val="0"/>
          <w:sz w:val="30"/>
          <w:lang w:val="zh-CN"/>
        </w:rPr>
        <w:t>包装容器处理设施</w:t>
      </w:r>
      <w:r>
        <w:rPr>
          <w:rFonts w:hint="eastAsia" w:eastAsia="仿宋_GB2312"/>
          <w:color w:val="000000"/>
          <w:kern w:val="0"/>
          <w:sz w:val="30"/>
          <w:lang w:val="zh-CN"/>
        </w:rPr>
        <w:t>”</w:t>
      </w:r>
      <w:r>
        <w:rPr>
          <w:rFonts w:eastAsia="仿宋_GB2312"/>
          <w:color w:val="000000"/>
          <w:kern w:val="0"/>
          <w:sz w:val="30"/>
          <w:lang w:val="zh-CN"/>
        </w:rPr>
        <w:t>等；</w:t>
      </w:r>
    </w:p>
    <w:p>
      <w:pPr>
        <w:autoSpaceDE w:val="0"/>
        <w:autoSpaceDN w:val="0"/>
        <w:adjustRightInd w:val="0"/>
        <w:snapToGrid w:val="0"/>
        <w:spacing w:line="336" w:lineRule="auto"/>
        <w:ind w:firstLine="576" w:firstLineChars="200"/>
        <w:rPr>
          <w:rFonts w:ascii="仿宋_GB2312" w:eastAsia="仿宋_GB2312"/>
          <w:color w:val="000000"/>
          <w:kern w:val="0"/>
          <w:sz w:val="30"/>
          <w:lang w:val="zh-CN"/>
        </w:rPr>
      </w:pPr>
      <w:r>
        <w:rPr>
          <w:rFonts w:eastAsia="仿宋_GB2312"/>
          <w:color w:val="000000"/>
          <w:kern w:val="0"/>
          <w:sz w:val="30"/>
          <w:lang w:val="zh-CN"/>
        </w:rPr>
        <w:t>设施类别：该设施利用处置废物的方式，</w:t>
      </w:r>
      <w:r>
        <w:rPr>
          <w:rFonts w:hint="eastAsia" w:ascii="仿宋_GB2312" w:eastAsia="仿宋_GB2312"/>
          <w:color w:val="000000"/>
          <w:kern w:val="0"/>
          <w:sz w:val="30"/>
          <w:lang w:val="zh-CN"/>
        </w:rPr>
        <w:t>如“焚烧”“蒸馏”“酸碱中和”“电解”等；</w:t>
      </w:r>
    </w:p>
    <w:p>
      <w:pPr>
        <w:autoSpaceDE w:val="0"/>
        <w:autoSpaceDN w:val="0"/>
        <w:adjustRightInd w:val="0"/>
        <w:snapToGrid w:val="0"/>
        <w:spacing w:line="336" w:lineRule="auto"/>
        <w:ind w:firstLine="576" w:firstLineChars="200"/>
        <w:rPr>
          <w:rFonts w:ascii="仿宋_GB2312" w:eastAsia="仿宋_GB2312"/>
          <w:color w:val="000000"/>
          <w:kern w:val="0"/>
          <w:sz w:val="30"/>
          <w:lang w:val="zh-CN"/>
        </w:rPr>
      </w:pPr>
      <w:r>
        <w:rPr>
          <w:rFonts w:eastAsia="仿宋_GB2312"/>
          <w:color w:val="000000"/>
          <w:kern w:val="0"/>
          <w:sz w:val="30"/>
          <w:lang w:val="zh-CN"/>
        </w:rPr>
        <w:t>总投资：该设施（包括配套设施）的投资总金额，计量单位</w:t>
      </w:r>
      <w:r>
        <w:rPr>
          <w:rFonts w:hint="eastAsia" w:ascii="仿宋_GB2312" w:eastAsia="仿宋_GB2312"/>
          <w:color w:val="000000"/>
          <w:kern w:val="0"/>
          <w:sz w:val="30"/>
          <w:lang w:val="zh-CN"/>
        </w:rPr>
        <w:t>为“万元”；</w:t>
      </w:r>
    </w:p>
    <w:p>
      <w:pPr>
        <w:autoSpaceDE w:val="0"/>
        <w:autoSpaceDN w:val="0"/>
        <w:adjustRightInd w:val="0"/>
        <w:snapToGrid w:val="0"/>
        <w:spacing w:line="336" w:lineRule="auto"/>
        <w:ind w:firstLine="576" w:firstLineChars="200"/>
        <w:rPr>
          <w:rFonts w:eastAsia="仿宋_GB2312"/>
          <w:color w:val="000000"/>
          <w:kern w:val="0"/>
          <w:sz w:val="30"/>
          <w:lang w:val="zh-CN"/>
        </w:rPr>
      </w:pPr>
      <w:r>
        <w:rPr>
          <w:rFonts w:hint="eastAsia" w:ascii="仿宋_GB2312" w:eastAsia="仿宋_GB2312"/>
          <w:color w:val="000000"/>
          <w:kern w:val="0"/>
          <w:sz w:val="30"/>
          <w:lang w:val="zh-CN"/>
        </w:rPr>
        <w:t>设计能力：该设施每年能够利用处置危险废物的最大数量，计量单位为“吨/年”；</w:t>
      </w:r>
    </w:p>
    <w:p>
      <w:pPr>
        <w:autoSpaceDE w:val="0"/>
        <w:autoSpaceDN w:val="0"/>
        <w:adjustRightInd w:val="0"/>
        <w:snapToGrid w:val="0"/>
        <w:spacing w:line="336" w:lineRule="auto"/>
        <w:ind w:firstLine="576" w:firstLineChars="200"/>
        <w:rPr>
          <w:rFonts w:eastAsia="仿宋_GB2312"/>
          <w:color w:val="000000"/>
          <w:kern w:val="0"/>
          <w:sz w:val="30"/>
          <w:lang w:val="zh-CN"/>
        </w:rPr>
      </w:pPr>
      <w:r>
        <w:rPr>
          <w:rFonts w:eastAsia="仿宋_GB2312"/>
          <w:color w:val="000000"/>
          <w:kern w:val="0"/>
          <w:sz w:val="30"/>
          <w:lang w:val="zh-CN"/>
        </w:rPr>
        <w:t>设计使用年限：该设施设计使用的年限；</w:t>
      </w:r>
    </w:p>
    <w:p>
      <w:pPr>
        <w:autoSpaceDE w:val="0"/>
        <w:autoSpaceDN w:val="0"/>
        <w:adjustRightInd w:val="0"/>
        <w:snapToGrid w:val="0"/>
        <w:spacing w:line="336" w:lineRule="auto"/>
        <w:ind w:firstLine="576" w:firstLineChars="200"/>
        <w:rPr>
          <w:rFonts w:eastAsia="仿宋_GB2312"/>
          <w:color w:val="000000"/>
          <w:kern w:val="0"/>
          <w:sz w:val="30"/>
          <w:lang w:val="zh-CN"/>
        </w:rPr>
      </w:pPr>
      <w:r>
        <w:rPr>
          <w:rFonts w:eastAsia="仿宋_GB2312"/>
          <w:color w:val="000000"/>
          <w:kern w:val="0"/>
          <w:sz w:val="30"/>
          <w:lang w:val="zh-CN"/>
        </w:rPr>
        <w:t>投入运行时间：该设施正式投入运行的年份；</w:t>
      </w:r>
    </w:p>
    <w:p>
      <w:pPr>
        <w:autoSpaceDE w:val="0"/>
        <w:autoSpaceDN w:val="0"/>
        <w:adjustRightInd w:val="0"/>
        <w:snapToGrid w:val="0"/>
        <w:spacing w:line="336" w:lineRule="auto"/>
        <w:ind w:firstLine="576" w:firstLineChars="200"/>
        <w:rPr>
          <w:rFonts w:eastAsia="仿宋_GB2312"/>
          <w:color w:val="000000"/>
          <w:kern w:val="0"/>
          <w:sz w:val="30"/>
          <w:lang w:val="zh-CN"/>
        </w:rPr>
      </w:pPr>
      <w:r>
        <w:rPr>
          <w:rFonts w:eastAsia="仿宋_GB2312"/>
          <w:color w:val="000000"/>
          <w:kern w:val="0"/>
          <w:sz w:val="30"/>
          <w:lang w:val="zh-CN"/>
        </w:rPr>
        <w:t>运行费用：该设施年度运行费用，计量单位为</w:t>
      </w:r>
      <w:r>
        <w:rPr>
          <w:rFonts w:hint="eastAsia" w:ascii="仿宋_GB2312" w:eastAsia="仿宋_GB2312"/>
          <w:color w:val="000000"/>
          <w:kern w:val="0"/>
          <w:sz w:val="30"/>
          <w:lang w:val="zh-CN"/>
        </w:rPr>
        <w:t>“元/年”；</w:t>
      </w:r>
    </w:p>
    <w:p>
      <w:pPr>
        <w:autoSpaceDE w:val="0"/>
        <w:autoSpaceDN w:val="0"/>
        <w:adjustRightInd w:val="0"/>
        <w:snapToGrid w:val="0"/>
        <w:spacing w:line="336" w:lineRule="auto"/>
        <w:ind w:firstLine="584" w:firstLineChars="200"/>
        <w:rPr>
          <w:rFonts w:eastAsia="仿宋_GB2312"/>
          <w:color w:val="000000"/>
          <w:spacing w:val="-4"/>
          <w:kern w:val="0"/>
          <w:sz w:val="30"/>
          <w:szCs w:val="30"/>
          <w:lang w:val="zh-CN"/>
        </w:rPr>
      </w:pPr>
      <w:r>
        <w:rPr>
          <w:rFonts w:eastAsia="仿宋_GB2312"/>
          <w:color w:val="000000"/>
          <w:spacing w:val="-4"/>
          <w:kern w:val="0"/>
          <w:sz w:val="30"/>
          <w:szCs w:val="30"/>
          <w:lang w:val="zh-CN"/>
        </w:rPr>
        <w:t>主要设备及数量：该设施中所包括的主要设备名称及其数量；</w:t>
      </w:r>
    </w:p>
    <w:p>
      <w:pPr>
        <w:autoSpaceDE w:val="0"/>
        <w:autoSpaceDN w:val="0"/>
        <w:adjustRightInd w:val="0"/>
        <w:snapToGrid w:val="0"/>
        <w:spacing w:line="336" w:lineRule="auto"/>
        <w:ind w:firstLine="576" w:firstLineChars="200"/>
        <w:rPr>
          <w:rFonts w:eastAsia="仿宋_GB2312"/>
          <w:color w:val="000000"/>
          <w:kern w:val="0"/>
          <w:sz w:val="30"/>
          <w:lang w:val="zh-CN"/>
        </w:rPr>
      </w:pPr>
      <w:r>
        <w:rPr>
          <w:rFonts w:eastAsia="仿宋_GB2312"/>
          <w:color w:val="000000"/>
          <w:kern w:val="0"/>
          <w:sz w:val="30"/>
          <w:lang w:val="zh-CN"/>
        </w:rPr>
        <w:t xml:space="preserve">利用处置效果：自行利用处置废物后，危险废物数量、体积的减量化情况和有害物质、组分的减少情况，以及废物经利用后能否达到国家相应产品质量标准等情况，达到相应标准的应注明标准名称及标准编号； </w:t>
      </w:r>
    </w:p>
    <w:p>
      <w:pPr>
        <w:autoSpaceDE w:val="0"/>
        <w:autoSpaceDN w:val="0"/>
        <w:adjustRightInd w:val="0"/>
        <w:snapToGrid w:val="0"/>
        <w:spacing w:line="336" w:lineRule="auto"/>
        <w:ind w:firstLine="576" w:firstLineChars="200"/>
        <w:rPr>
          <w:rFonts w:eastAsia="仿宋_GB2312"/>
          <w:color w:val="000000"/>
          <w:kern w:val="0"/>
          <w:sz w:val="30"/>
          <w:lang w:val="zh-CN"/>
        </w:rPr>
      </w:pPr>
      <w:r>
        <w:rPr>
          <w:rFonts w:eastAsia="仿宋_GB2312"/>
          <w:color w:val="000000"/>
          <w:kern w:val="0"/>
          <w:sz w:val="30"/>
          <w:lang w:val="zh-CN"/>
        </w:rPr>
        <w:t>废物自行利用处置情况：采用该设施利用处置危险废物的名称（与表</w:t>
      </w:r>
      <w:r>
        <w:rPr>
          <w:rFonts w:hint="eastAsia" w:eastAsia="仿宋_GB2312"/>
          <w:color w:val="000000"/>
          <w:kern w:val="0"/>
          <w:sz w:val="30"/>
          <w:lang w:val="en-US" w:eastAsia="zh-CN"/>
        </w:rPr>
        <w:t>4</w:t>
      </w:r>
      <w:r>
        <w:rPr>
          <w:rFonts w:eastAsia="仿宋_GB2312"/>
          <w:color w:val="000000"/>
          <w:kern w:val="0"/>
          <w:sz w:val="30"/>
          <w:lang w:val="zh-CN"/>
        </w:rPr>
        <w:t>中的废物名称一致），以计划期限上一年自行利用处置该种危险废物的数量；</w:t>
      </w:r>
    </w:p>
    <w:p>
      <w:pPr>
        <w:autoSpaceDE w:val="0"/>
        <w:autoSpaceDN w:val="0"/>
        <w:adjustRightInd w:val="0"/>
        <w:snapToGrid w:val="0"/>
        <w:spacing w:line="336" w:lineRule="auto"/>
        <w:ind w:firstLine="576" w:firstLineChars="200"/>
        <w:rPr>
          <w:rFonts w:eastAsia="仿宋_GB2312"/>
          <w:color w:val="000000"/>
          <w:kern w:val="0"/>
          <w:sz w:val="30"/>
          <w:lang w:val="zh-CN"/>
        </w:rPr>
      </w:pPr>
      <w:r>
        <w:rPr>
          <w:rFonts w:eastAsia="仿宋_GB2312"/>
          <w:color w:val="000000"/>
          <w:kern w:val="0"/>
          <w:sz w:val="30"/>
          <w:lang w:val="zh-CN"/>
        </w:rPr>
        <w:t>自行利用处置工艺流程图及工艺说明：该设施的工艺流程示意图及其文字说明；</w:t>
      </w:r>
    </w:p>
    <w:p>
      <w:pPr>
        <w:autoSpaceDE w:val="0"/>
        <w:autoSpaceDN w:val="0"/>
        <w:adjustRightInd w:val="0"/>
        <w:snapToGrid w:val="0"/>
        <w:spacing w:line="336" w:lineRule="auto"/>
        <w:ind w:firstLine="576" w:firstLineChars="200"/>
        <w:rPr>
          <w:rFonts w:eastAsia="仿宋_GB2312"/>
          <w:color w:val="000000"/>
          <w:kern w:val="0"/>
          <w:sz w:val="30"/>
          <w:lang w:val="zh-CN"/>
        </w:rPr>
      </w:pPr>
      <w:r>
        <w:rPr>
          <w:rFonts w:eastAsia="仿宋_GB2312"/>
          <w:color w:val="000000"/>
          <w:kern w:val="0"/>
          <w:sz w:val="30"/>
          <w:lang w:val="zh-CN"/>
        </w:rPr>
        <w:t>二次环境污染控制和事故预防措施：包括污染控制措施、事故预防措施、以及设备和制度等方面的内容。</w:t>
      </w:r>
    </w:p>
    <w:p>
      <w:pPr>
        <w:autoSpaceDE w:val="0"/>
        <w:autoSpaceDN w:val="0"/>
        <w:adjustRightInd w:val="0"/>
        <w:snapToGrid w:val="0"/>
        <w:spacing w:line="336" w:lineRule="auto"/>
        <w:ind w:firstLine="576" w:firstLineChars="200"/>
        <w:rPr>
          <w:rFonts w:hint="eastAsia" w:eastAsia="仿宋_GB2312"/>
          <w:color w:val="000000"/>
          <w:kern w:val="0"/>
          <w:sz w:val="30"/>
          <w:lang w:val="zh-CN" w:eastAsia="zh-CN"/>
        </w:rPr>
      </w:pPr>
      <w:r>
        <w:rPr>
          <w:rFonts w:hint="eastAsia" w:eastAsia="仿宋_GB2312"/>
          <w:color w:val="000000"/>
          <w:kern w:val="0"/>
          <w:sz w:val="30"/>
          <w:lang w:val="zh-CN" w:eastAsia="zh-CN"/>
        </w:rPr>
        <w:t>设施编码：依据设施工况中污染防治设施编码填写。设施类型通过设施编码从</w:t>
      </w:r>
      <w:r>
        <w:rPr>
          <w:rFonts w:hint="eastAsia" w:eastAsia="仿宋_GB2312"/>
          <w:color w:val="000000"/>
          <w:kern w:val="0"/>
          <w:sz w:val="30"/>
          <w:lang w:val="en-US" w:eastAsia="zh-CN"/>
        </w:rPr>
        <w:t>表</w:t>
      </w:r>
      <w:r>
        <w:rPr>
          <w:rFonts w:hint="eastAsia" w:eastAsia="仿宋_GB2312"/>
          <w:color w:val="000000"/>
          <w:kern w:val="0"/>
          <w:sz w:val="30"/>
          <w:lang w:val="zh-CN" w:eastAsia="zh-CN"/>
        </w:rPr>
        <w:t>3污染防治设施中关联。</w:t>
      </w:r>
    </w:p>
    <w:p>
      <w:pPr>
        <w:autoSpaceDE w:val="0"/>
        <w:autoSpaceDN w:val="0"/>
        <w:adjustRightInd w:val="0"/>
        <w:snapToGrid w:val="0"/>
        <w:spacing w:line="336" w:lineRule="auto"/>
        <w:ind w:firstLine="578" w:firstLineChars="200"/>
        <w:rPr>
          <w:rFonts w:hint="eastAsia" w:eastAsia="仿宋_GB2312"/>
          <w:b/>
          <w:color w:val="000000"/>
          <w:kern w:val="0"/>
          <w:sz w:val="30"/>
          <w:lang w:val="zh-CN" w:eastAsia="zh-CN"/>
        </w:rPr>
      </w:pPr>
      <w:r>
        <w:rPr>
          <w:rFonts w:hint="eastAsia" w:eastAsia="仿宋_GB2312"/>
          <w:b/>
          <w:color w:val="000000"/>
          <w:kern w:val="0"/>
          <w:sz w:val="30"/>
          <w:lang w:val="zh-CN" w:eastAsia="zh-CN"/>
        </w:rPr>
        <w:t>表 7  危险废物减量化计划和措施</w:t>
      </w:r>
    </w:p>
    <w:p>
      <w:pPr>
        <w:autoSpaceDE w:val="0"/>
        <w:autoSpaceDN w:val="0"/>
        <w:adjustRightInd w:val="0"/>
        <w:snapToGrid w:val="0"/>
        <w:spacing w:line="336" w:lineRule="auto"/>
        <w:ind w:firstLine="576" w:firstLineChars="200"/>
        <w:rPr>
          <w:rFonts w:eastAsia="仿宋_GB2312"/>
          <w:color w:val="000000"/>
          <w:kern w:val="0"/>
          <w:sz w:val="30"/>
          <w:lang w:val="zh-CN"/>
        </w:rPr>
      </w:pPr>
      <w:r>
        <w:rPr>
          <w:rFonts w:eastAsia="仿宋_GB2312"/>
          <w:color w:val="000000"/>
          <w:kern w:val="0"/>
          <w:sz w:val="30"/>
          <w:lang w:val="zh-CN"/>
        </w:rPr>
        <w:t>废物名称：与表</w:t>
      </w:r>
      <w:r>
        <w:rPr>
          <w:rFonts w:hint="eastAsia" w:eastAsia="仿宋_GB2312"/>
          <w:color w:val="000000"/>
          <w:kern w:val="0"/>
          <w:sz w:val="30"/>
          <w:lang w:val="en-US" w:eastAsia="zh-CN"/>
        </w:rPr>
        <w:t>4</w:t>
      </w:r>
      <w:r>
        <w:rPr>
          <w:rFonts w:eastAsia="仿宋_GB2312"/>
          <w:color w:val="000000"/>
          <w:kern w:val="0"/>
          <w:sz w:val="30"/>
          <w:lang w:val="zh-CN"/>
        </w:rPr>
        <w:t>中的废物序号及名称一致；</w:t>
      </w:r>
    </w:p>
    <w:p>
      <w:pPr>
        <w:autoSpaceDE w:val="0"/>
        <w:autoSpaceDN w:val="0"/>
        <w:adjustRightInd w:val="0"/>
        <w:snapToGrid w:val="0"/>
        <w:spacing w:line="336" w:lineRule="auto"/>
        <w:ind w:firstLine="576" w:firstLineChars="200"/>
        <w:rPr>
          <w:rFonts w:eastAsia="仿宋_GB2312"/>
          <w:color w:val="000000"/>
          <w:kern w:val="0"/>
          <w:sz w:val="30"/>
          <w:lang w:val="zh-CN"/>
        </w:rPr>
      </w:pPr>
      <w:r>
        <w:rPr>
          <w:rFonts w:eastAsia="仿宋_GB2312"/>
          <w:color w:val="000000"/>
          <w:kern w:val="0"/>
          <w:sz w:val="30"/>
          <w:lang w:val="zh-CN"/>
        </w:rPr>
        <w:t>本年度计划产生量：计划期限内该种危险废物的年度计划产生量，计量单位为吨，以升、立方米等体积计量的，应折算成重量吨；以个数作为计量单位的，除填写个数外，还应折算成重量吨；半固态危险废物（如电镀污泥等），以脱水后的干泥重量计。</w:t>
      </w:r>
    </w:p>
    <w:p>
      <w:pPr>
        <w:autoSpaceDE w:val="0"/>
        <w:autoSpaceDN w:val="0"/>
        <w:adjustRightInd w:val="0"/>
        <w:snapToGrid w:val="0"/>
        <w:spacing w:line="336" w:lineRule="auto"/>
        <w:ind w:firstLine="578" w:firstLineChars="200"/>
        <w:rPr>
          <w:rFonts w:eastAsia="仿宋_GB2312"/>
          <w:b/>
          <w:color w:val="000000"/>
          <w:kern w:val="0"/>
          <w:sz w:val="30"/>
          <w:lang w:val="zh-CN"/>
        </w:rPr>
      </w:pPr>
      <w:r>
        <w:rPr>
          <w:rFonts w:hint="eastAsia" w:eastAsia="仿宋_GB2312"/>
          <w:b/>
          <w:color w:val="000000"/>
          <w:kern w:val="0"/>
          <w:sz w:val="30"/>
          <w:lang w:val="zh-CN"/>
        </w:rPr>
        <w:t>表 8  危险废物转移情况信息表</w:t>
      </w:r>
    </w:p>
    <w:p>
      <w:pPr>
        <w:autoSpaceDE w:val="0"/>
        <w:autoSpaceDN w:val="0"/>
        <w:adjustRightInd w:val="0"/>
        <w:snapToGrid w:val="0"/>
        <w:spacing w:line="336" w:lineRule="auto"/>
        <w:ind w:firstLine="576" w:firstLineChars="200"/>
        <w:rPr>
          <w:rFonts w:eastAsia="仿宋_GB2312"/>
          <w:color w:val="000000"/>
          <w:kern w:val="0"/>
          <w:sz w:val="30"/>
          <w:lang w:val="zh-CN"/>
        </w:rPr>
      </w:pPr>
      <w:r>
        <w:rPr>
          <w:rFonts w:eastAsia="仿宋_GB2312"/>
          <w:color w:val="000000"/>
          <w:kern w:val="0"/>
          <w:sz w:val="30"/>
          <w:lang w:val="zh-CN"/>
        </w:rPr>
        <w:t>贮存措施：废物收集、贮存相关环保制度的执行情况，根据实际情况勾选，同时填写废物的贮存设施现状及贮存情况，贮存方面的相关要求，如数量、面积以及采取的污染防治措施；</w:t>
      </w:r>
    </w:p>
    <w:p>
      <w:pPr>
        <w:autoSpaceDE w:val="0"/>
        <w:autoSpaceDN w:val="0"/>
        <w:adjustRightInd w:val="0"/>
        <w:snapToGrid w:val="0"/>
        <w:spacing w:line="336" w:lineRule="auto"/>
        <w:ind w:firstLine="576" w:firstLineChars="200"/>
        <w:rPr>
          <w:rFonts w:eastAsia="仿宋_GB2312"/>
          <w:color w:val="000000"/>
          <w:kern w:val="0"/>
          <w:sz w:val="30"/>
          <w:lang w:val="zh-CN"/>
        </w:rPr>
      </w:pPr>
      <w:r>
        <w:rPr>
          <w:rFonts w:eastAsia="仿宋_GB2312"/>
          <w:color w:val="000000"/>
          <w:kern w:val="0"/>
          <w:sz w:val="30"/>
          <w:lang w:val="zh-CN"/>
        </w:rPr>
        <w:t>运输措施：废物运输过程中相关环保制度的执行情况，根据实际情况勾选，同时填写废物运输过程中采取的污染防治措施；</w:t>
      </w:r>
    </w:p>
    <w:p>
      <w:pPr>
        <w:autoSpaceDE w:val="0"/>
        <w:autoSpaceDN w:val="0"/>
        <w:adjustRightInd w:val="0"/>
        <w:snapToGrid w:val="0"/>
        <w:spacing w:line="336" w:lineRule="auto"/>
        <w:ind w:firstLine="576" w:firstLineChars="200"/>
        <w:rPr>
          <w:rFonts w:eastAsia="仿宋_GB2312"/>
          <w:color w:val="000000"/>
          <w:kern w:val="0"/>
          <w:sz w:val="30"/>
          <w:lang w:val="zh-CN"/>
        </w:rPr>
      </w:pPr>
      <w:r>
        <w:rPr>
          <w:rFonts w:eastAsia="仿宋_GB2312"/>
          <w:color w:val="000000"/>
          <w:kern w:val="0"/>
          <w:sz w:val="30"/>
          <w:lang w:val="zh-CN"/>
        </w:rPr>
        <w:t>转移计划：危险废物数量、种类；拟接收危险废物的经营单位的资质和经营范围等。</w:t>
      </w:r>
    </w:p>
    <w:p>
      <w:pPr>
        <w:autoSpaceDE w:val="0"/>
        <w:autoSpaceDN w:val="0"/>
        <w:adjustRightInd w:val="0"/>
        <w:snapToGrid w:val="0"/>
        <w:spacing w:line="336" w:lineRule="auto"/>
        <w:ind w:firstLine="576" w:firstLineChars="200"/>
        <w:rPr>
          <w:rFonts w:eastAsia="仿宋_GB2312"/>
          <w:color w:val="000000"/>
          <w:kern w:val="0"/>
          <w:sz w:val="30"/>
          <w:lang w:val="zh-CN"/>
        </w:rPr>
      </w:pPr>
      <w:r>
        <w:rPr>
          <w:rFonts w:eastAsia="仿宋_GB2312"/>
          <w:color w:val="000000"/>
          <w:kern w:val="0"/>
          <w:sz w:val="30"/>
          <w:lang w:val="zh-CN"/>
        </w:rPr>
        <w:t>凡计划期限上一年已委托或计划期限内拟委托外单位利用处置危险废物（包括自行利用处置过程中产生的废渣）的，需填写表</w:t>
      </w:r>
      <w:r>
        <w:rPr>
          <w:rFonts w:hint="eastAsia" w:eastAsia="仿宋_GB2312"/>
          <w:color w:val="000000"/>
          <w:kern w:val="0"/>
          <w:sz w:val="30"/>
          <w:lang w:val="en-US" w:eastAsia="zh-CN"/>
        </w:rPr>
        <w:t>8</w:t>
      </w:r>
      <w:r>
        <w:rPr>
          <w:rFonts w:eastAsia="仿宋_GB2312"/>
          <w:color w:val="000000"/>
          <w:kern w:val="0"/>
          <w:sz w:val="30"/>
          <w:lang w:val="zh-CN"/>
        </w:rPr>
        <w:t>。委托利用的，在表头的利用下划√；委托处置的，在表头的处置下划√。同时将相应利用处置单位的危险废物经营许可证复印件作为本管理计划表的附件一并装订成册</w:t>
      </w:r>
      <w:r>
        <w:rPr>
          <w:rFonts w:hint="eastAsia" w:eastAsia="仿宋_GB2312"/>
          <w:color w:val="000000"/>
          <w:kern w:val="0"/>
          <w:sz w:val="30"/>
          <w:lang w:val="zh-CN"/>
        </w:rPr>
        <w:t>；</w:t>
      </w:r>
    </w:p>
    <w:p>
      <w:pPr>
        <w:autoSpaceDE w:val="0"/>
        <w:autoSpaceDN w:val="0"/>
        <w:adjustRightInd w:val="0"/>
        <w:snapToGrid w:val="0"/>
        <w:spacing w:line="336" w:lineRule="auto"/>
        <w:ind w:firstLine="576" w:firstLineChars="200"/>
        <w:rPr>
          <w:rFonts w:eastAsia="仿宋_GB2312"/>
          <w:color w:val="000000"/>
          <w:kern w:val="0"/>
          <w:sz w:val="30"/>
          <w:lang w:val="zh-CN"/>
        </w:rPr>
      </w:pPr>
      <w:r>
        <w:rPr>
          <w:rFonts w:eastAsia="仿宋_GB2312"/>
          <w:color w:val="000000"/>
          <w:kern w:val="0"/>
          <w:sz w:val="30"/>
          <w:lang w:val="zh-CN"/>
        </w:rPr>
        <w:t>利用处置单位名称、许可证编号：与利用处置单位危险废物经营许可证上的名称、许可证编号一致；</w:t>
      </w:r>
    </w:p>
    <w:p>
      <w:pPr>
        <w:autoSpaceDE w:val="0"/>
        <w:autoSpaceDN w:val="0"/>
        <w:adjustRightInd w:val="0"/>
        <w:snapToGrid w:val="0"/>
        <w:spacing w:line="336" w:lineRule="auto"/>
        <w:ind w:firstLine="576" w:firstLineChars="200"/>
        <w:rPr>
          <w:rFonts w:eastAsia="仿宋_GB2312"/>
          <w:color w:val="000000"/>
          <w:kern w:val="0"/>
          <w:sz w:val="30"/>
          <w:lang w:val="zh-CN"/>
        </w:rPr>
      </w:pPr>
      <w:r>
        <w:rPr>
          <w:rFonts w:eastAsia="仿宋_GB2312"/>
          <w:color w:val="000000"/>
          <w:kern w:val="0"/>
          <w:sz w:val="30"/>
          <w:lang w:val="zh-CN"/>
        </w:rPr>
        <w:t>利用处置废物名称：与表</w:t>
      </w:r>
      <w:r>
        <w:rPr>
          <w:rFonts w:hint="eastAsia" w:eastAsia="仿宋_GB2312"/>
          <w:color w:val="000000"/>
          <w:kern w:val="0"/>
          <w:sz w:val="30"/>
          <w:lang w:val="en-US" w:eastAsia="zh-CN"/>
        </w:rPr>
        <w:t>4</w:t>
      </w:r>
      <w:r>
        <w:rPr>
          <w:rFonts w:eastAsia="仿宋_GB2312"/>
          <w:color w:val="000000"/>
          <w:kern w:val="0"/>
          <w:sz w:val="30"/>
          <w:lang w:val="zh-CN"/>
        </w:rPr>
        <w:t>中相应的废物名称一致；</w:t>
      </w:r>
    </w:p>
    <w:p>
      <w:pPr>
        <w:autoSpaceDE w:val="0"/>
        <w:autoSpaceDN w:val="0"/>
        <w:adjustRightInd w:val="0"/>
        <w:snapToGrid w:val="0"/>
        <w:spacing w:line="336" w:lineRule="auto"/>
        <w:ind w:firstLine="576" w:firstLineChars="200"/>
        <w:rPr>
          <w:rFonts w:ascii="仿宋_GB2312" w:eastAsia="仿宋_GB2312"/>
          <w:color w:val="000000"/>
          <w:kern w:val="0"/>
          <w:sz w:val="30"/>
          <w:lang w:val="zh-CN"/>
        </w:rPr>
      </w:pPr>
      <w:r>
        <w:rPr>
          <w:rFonts w:hint="eastAsia" w:ascii="仿宋_GB2312" w:eastAsia="仿宋_GB2312"/>
          <w:color w:val="000000"/>
          <w:kern w:val="0"/>
          <w:sz w:val="30"/>
          <w:lang w:val="zh-CN"/>
        </w:rPr>
        <w:t>利用处置方式：外单位利用处置该种废物的方式，包括“焚烧”“填埋”“综合利用”等；</w:t>
      </w:r>
    </w:p>
    <w:p>
      <w:pPr>
        <w:autoSpaceDE w:val="0"/>
        <w:autoSpaceDN w:val="0"/>
        <w:adjustRightInd w:val="0"/>
        <w:snapToGrid w:val="0"/>
        <w:spacing w:line="336" w:lineRule="auto"/>
        <w:ind w:firstLine="576" w:firstLineChars="200"/>
        <w:rPr>
          <w:rFonts w:eastAsia="仿宋_GB2312"/>
          <w:color w:val="000000"/>
          <w:kern w:val="0"/>
          <w:sz w:val="30"/>
          <w:lang w:val="zh-CN"/>
        </w:rPr>
      </w:pPr>
      <w:r>
        <w:rPr>
          <w:rFonts w:eastAsia="仿宋_GB2312"/>
          <w:color w:val="000000"/>
          <w:kern w:val="0"/>
          <w:sz w:val="30"/>
          <w:lang w:val="zh-CN"/>
        </w:rPr>
        <w:t>本年度计划委托利用处置量：计划期限内委托利用处置危险废物的数量；</w:t>
      </w:r>
    </w:p>
    <w:p>
      <w:pPr>
        <w:autoSpaceDE w:val="0"/>
        <w:autoSpaceDN w:val="0"/>
        <w:adjustRightInd w:val="0"/>
        <w:snapToGrid w:val="0"/>
        <w:spacing w:line="360" w:lineRule="auto"/>
        <w:ind w:firstLine="576" w:firstLineChars="200"/>
        <w:rPr>
          <w:rFonts w:eastAsia="仿宋_GB2312"/>
          <w:color w:val="000000"/>
          <w:kern w:val="0"/>
          <w:sz w:val="30"/>
          <w:lang w:val="zh-CN"/>
        </w:rPr>
      </w:pPr>
      <w:r>
        <w:rPr>
          <w:rFonts w:eastAsia="仿宋_GB2312"/>
          <w:color w:val="000000"/>
          <w:kern w:val="0"/>
          <w:sz w:val="30"/>
          <w:lang w:val="zh-CN"/>
        </w:rPr>
        <w:t>上年度委托利用处置量：计划期限上一年委托利用处置该种危险废物的数量，如为计划期限内新更换的委托利用处置单位，即上一年未委托该单位利用处置废物时，则相应委托利用处置量填写</w:t>
      </w:r>
      <w:r>
        <w:rPr>
          <w:rFonts w:hint="eastAsia" w:ascii="仿宋_GB2312" w:eastAsia="仿宋_GB2312"/>
          <w:color w:val="000000"/>
          <w:kern w:val="0"/>
          <w:sz w:val="30"/>
          <w:lang w:val="zh-CN"/>
        </w:rPr>
        <w:t>“</w:t>
      </w:r>
      <w:r>
        <w:rPr>
          <w:rFonts w:eastAsia="仿宋_GB2312"/>
          <w:color w:val="000000"/>
          <w:kern w:val="0"/>
          <w:sz w:val="30"/>
          <w:lang w:val="zh-CN"/>
        </w:rPr>
        <w:t>0</w:t>
      </w:r>
      <w:r>
        <w:rPr>
          <w:rFonts w:hint="eastAsia" w:ascii="仿宋_GB2312" w:eastAsia="仿宋_GB2312"/>
          <w:color w:val="000000"/>
          <w:kern w:val="0"/>
          <w:sz w:val="30"/>
          <w:lang w:val="zh-CN"/>
        </w:rPr>
        <w:t>”</w:t>
      </w:r>
      <w:r>
        <w:rPr>
          <w:rFonts w:eastAsia="仿宋_GB2312"/>
          <w:color w:val="000000"/>
          <w:kern w:val="0"/>
          <w:sz w:val="30"/>
          <w:lang w:val="zh-CN"/>
        </w:rPr>
        <w:t>。</w:t>
      </w:r>
    </w:p>
    <w:p>
      <w:pPr>
        <w:rPr>
          <w:rFonts w:hint="eastAsia" w:ascii="方正黑体_GBK" w:eastAsia="方正黑体_GBK"/>
          <w:sz w:val="32"/>
          <w:szCs w:val="32"/>
        </w:rPr>
      </w:pPr>
      <w:r>
        <w:rPr>
          <w:rFonts w:hint="eastAsia" w:ascii="方正黑体_GBK" w:eastAsia="方正黑体_GBK"/>
          <w:sz w:val="32"/>
          <w:szCs w:val="32"/>
        </w:rPr>
        <w:br w:type="page"/>
      </w:r>
    </w:p>
    <w:p>
      <w:pPr>
        <w:spacing w:line="360" w:lineRule="auto"/>
        <w:ind w:firstLine="616" w:firstLineChars="200"/>
        <w:rPr>
          <w:rFonts w:ascii="方正黑体_GBK" w:eastAsia="方正黑体_GBK"/>
          <w:sz w:val="32"/>
          <w:szCs w:val="32"/>
        </w:rPr>
      </w:pPr>
      <w:r>
        <w:rPr>
          <w:rFonts w:hint="eastAsia" w:ascii="方正黑体_GBK" w:eastAsia="方正黑体_GBK"/>
          <w:sz w:val="32"/>
          <w:szCs w:val="32"/>
        </w:rPr>
        <w:t>申报单位对申报内容的承诺</w:t>
      </w:r>
    </w:p>
    <w:tbl>
      <w:tblPr>
        <w:tblStyle w:val="5"/>
        <w:tblW w:w="85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2" w:hRule="atLeast"/>
        </w:trPr>
        <w:tc>
          <w:tcPr>
            <w:tcW w:w="8598" w:type="dxa"/>
          </w:tcPr>
          <w:p>
            <w:pPr>
              <w:rPr>
                <w:rFonts w:eastAsia="方正仿宋_GBK"/>
                <w:sz w:val="24"/>
                <w:szCs w:val="24"/>
              </w:rPr>
            </w:pPr>
            <w:r>
              <w:rPr>
                <w:rFonts w:eastAsia="方正仿宋_GBK"/>
                <w:sz w:val="24"/>
                <w:szCs w:val="24"/>
              </w:rPr>
              <w:t>申报单位负责人意见</w:t>
            </w:r>
          </w:p>
          <w:p>
            <w:pPr>
              <w:rPr>
                <w:rFonts w:eastAsia="方正仿宋_GBK"/>
                <w:sz w:val="24"/>
                <w:szCs w:val="24"/>
              </w:rPr>
            </w:pPr>
          </w:p>
          <w:p>
            <w:pPr>
              <w:rPr>
                <w:rFonts w:eastAsia="方正仿宋_GBK"/>
                <w:sz w:val="24"/>
                <w:szCs w:val="24"/>
              </w:rPr>
            </w:pPr>
          </w:p>
          <w:p>
            <w:pPr>
              <w:rPr>
                <w:rFonts w:eastAsia="方正仿宋_GBK"/>
                <w:sz w:val="24"/>
                <w:szCs w:val="24"/>
              </w:rPr>
            </w:pPr>
          </w:p>
          <w:p>
            <w:pPr>
              <w:rPr>
                <w:rFonts w:eastAsia="方正仿宋_GBK"/>
                <w:sz w:val="24"/>
                <w:szCs w:val="24"/>
              </w:rPr>
            </w:pPr>
          </w:p>
          <w:p>
            <w:pPr>
              <w:ind w:right="90"/>
              <w:jc w:val="right"/>
              <w:rPr>
                <w:rFonts w:eastAsia="方正仿宋_GBK"/>
                <w:sz w:val="24"/>
                <w:szCs w:val="24"/>
              </w:rPr>
            </w:pPr>
            <w:r>
              <w:rPr>
                <w:rFonts w:eastAsia="方正仿宋_GBK"/>
                <w:sz w:val="24"/>
                <w:szCs w:val="24"/>
              </w:rPr>
              <w:t>承诺人：  （签名或盖章）</w:t>
            </w:r>
          </w:p>
          <w:p>
            <w:pPr>
              <w:spacing w:line="360" w:lineRule="auto"/>
              <w:jc w:val="right"/>
              <w:rPr>
                <w:rFonts w:ascii="方正黑体_GBK" w:eastAsia="方正黑体_GBK"/>
                <w:sz w:val="32"/>
                <w:szCs w:val="32"/>
              </w:rPr>
            </w:pPr>
            <w:r>
              <w:rPr>
                <w:rFonts w:eastAsia="方正仿宋_GBK"/>
                <w:sz w:val="24"/>
                <w:szCs w:val="24"/>
              </w:rPr>
              <w:t>时</w:t>
            </w:r>
            <w:r>
              <w:rPr>
                <w:rFonts w:hint="eastAsia" w:eastAsia="方正仿宋_GBK"/>
                <w:sz w:val="24"/>
                <w:szCs w:val="24"/>
              </w:rPr>
              <w:t xml:space="preserve">  </w:t>
            </w:r>
            <w:r>
              <w:rPr>
                <w:rFonts w:eastAsia="方正仿宋_GBK"/>
                <w:sz w:val="24"/>
                <w:szCs w:val="24"/>
              </w:rPr>
              <w:t>间：   年   月   日</w:t>
            </w:r>
          </w:p>
        </w:tc>
      </w:tr>
    </w:tbl>
    <w:p>
      <w:pPr>
        <w:rPr>
          <w:rFonts w:hint="default"/>
          <w:lang w:val="en-US" w:eastAsia="zh-CN"/>
        </w:rPr>
      </w:pPr>
    </w:p>
    <w:sectPr>
      <w:pgSz w:w="11906" w:h="16838"/>
      <w:pgMar w:top="1440" w:right="1803" w:bottom="1440" w:left="180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CF3C50" w:usb2="00000016" w:usb3="00000000" w:csb0="0004001F" w:csb1="00000000"/>
  </w:font>
  <w:font w:name="方正黑体_GBK">
    <w:altName w:val="微软雅黑"/>
    <w:panose1 w:val="00000000000000000000"/>
    <w:charset w:val="86"/>
    <w:family w:val="script"/>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PowerPlusWaterMarkObject20912" o:spid="_x0000_s4097" o:spt="136" type="#_x0000_t136" style="position:absolute;left:0pt;height:48.3pt;width:508.95pt;mso-position-horizontal:center;mso-position-horizontal-relative:margin;mso-position-vertical:center;mso-position-vertical-relative:margin;rotation:-2949120f;z-index:-251657216;mso-width-relative:page;mso-height-relative:page;" fillcolor="#0D0D0D" filled="t" stroked="f" coordsize="21600,21600" adj="10800">
          <v:path/>
          <v:fill on="t" opacity="6553f" focussize="0,0"/>
          <v:stroke on="f"/>
          <v:imagedata o:title=""/>
          <o:lock v:ext="edit" aspectratio="t"/>
          <v:textpath on="t" fitshape="t" fitpath="t" trim="t" xscale="f" string="宁夏回族自治区生态环境厅" style="font-family:宋体;font-size:48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60"/>
  <w:displayHorizontalDrawingGridEvery w:val="1"/>
  <w:displayVerticalDrawingGridEvery w:val="2"/>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5N2NkMzY0MDgxY2QwYWYwNGExMWZlZmMzYjJjMzgifQ=="/>
  </w:docVars>
  <w:rsids>
    <w:rsidRoot w:val="74E3403A"/>
    <w:rsid w:val="005D4603"/>
    <w:rsid w:val="00755DF0"/>
    <w:rsid w:val="00AB1812"/>
    <w:rsid w:val="015B4FE6"/>
    <w:rsid w:val="016A6FD7"/>
    <w:rsid w:val="01A7022B"/>
    <w:rsid w:val="01C56903"/>
    <w:rsid w:val="01FA2AA8"/>
    <w:rsid w:val="02655831"/>
    <w:rsid w:val="028642E4"/>
    <w:rsid w:val="02873BB9"/>
    <w:rsid w:val="02FA438B"/>
    <w:rsid w:val="03084CFA"/>
    <w:rsid w:val="03343D40"/>
    <w:rsid w:val="039667A9"/>
    <w:rsid w:val="04074FB1"/>
    <w:rsid w:val="04497378"/>
    <w:rsid w:val="0548762F"/>
    <w:rsid w:val="05AF5900"/>
    <w:rsid w:val="05C61C62"/>
    <w:rsid w:val="067F52D3"/>
    <w:rsid w:val="07E86EA8"/>
    <w:rsid w:val="07ED0962"/>
    <w:rsid w:val="08BD20E2"/>
    <w:rsid w:val="09774987"/>
    <w:rsid w:val="0A4E393A"/>
    <w:rsid w:val="0A557282"/>
    <w:rsid w:val="0AA55F6C"/>
    <w:rsid w:val="0B0E30C9"/>
    <w:rsid w:val="0B860EB1"/>
    <w:rsid w:val="0B983A14"/>
    <w:rsid w:val="0BA82F99"/>
    <w:rsid w:val="0BB7550F"/>
    <w:rsid w:val="0BED0F30"/>
    <w:rsid w:val="0CA02447"/>
    <w:rsid w:val="0CA75159"/>
    <w:rsid w:val="0CFB142B"/>
    <w:rsid w:val="0D1C7D1F"/>
    <w:rsid w:val="0DCF7E51"/>
    <w:rsid w:val="0DFE5677"/>
    <w:rsid w:val="0E172295"/>
    <w:rsid w:val="0E63372C"/>
    <w:rsid w:val="0EC20452"/>
    <w:rsid w:val="0F0767AD"/>
    <w:rsid w:val="0F220EF1"/>
    <w:rsid w:val="0F320DA5"/>
    <w:rsid w:val="0F3330FE"/>
    <w:rsid w:val="0FE6121C"/>
    <w:rsid w:val="10F20D97"/>
    <w:rsid w:val="111D5E14"/>
    <w:rsid w:val="11D566EF"/>
    <w:rsid w:val="11FB5272"/>
    <w:rsid w:val="12154D3D"/>
    <w:rsid w:val="124D2729"/>
    <w:rsid w:val="12687563"/>
    <w:rsid w:val="12957C2C"/>
    <w:rsid w:val="12A367ED"/>
    <w:rsid w:val="13B10A95"/>
    <w:rsid w:val="13BB36C2"/>
    <w:rsid w:val="144B2C98"/>
    <w:rsid w:val="14B24AC5"/>
    <w:rsid w:val="150C68CB"/>
    <w:rsid w:val="153C6A85"/>
    <w:rsid w:val="15DA6BBE"/>
    <w:rsid w:val="160616D0"/>
    <w:rsid w:val="16092E0B"/>
    <w:rsid w:val="164C2CF7"/>
    <w:rsid w:val="16704C38"/>
    <w:rsid w:val="168406E3"/>
    <w:rsid w:val="16D90A2F"/>
    <w:rsid w:val="178F10EE"/>
    <w:rsid w:val="183F2B14"/>
    <w:rsid w:val="1844115B"/>
    <w:rsid w:val="18A256A4"/>
    <w:rsid w:val="19160E46"/>
    <w:rsid w:val="191F46F3"/>
    <w:rsid w:val="19257F5C"/>
    <w:rsid w:val="194523AC"/>
    <w:rsid w:val="19622F5E"/>
    <w:rsid w:val="197607B7"/>
    <w:rsid w:val="19C5529B"/>
    <w:rsid w:val="1A2024D1"/>
    <w:rsid w:val="1A2D5A4D"/>
    <w:rsid w:val="1A475CB0"/>
    <w:rsid w:val="1A4A6416"/>
    <w:rsid w:val="1A7647E7"/>
    <w:rsid w:val="1A856779"/>
    <w:rsid w:val="1AAB26E2"/>
    <w:rsid w:val="1AD54D57"/>
    <w:rsid w:val="1AFE6CB6"/>
    <w:rsid w:val="1BC51582"/>
    <w:rsid w:val="1BC64593"/>
    <w:rsid w:val="1BF12377"/>
    <w:rsid w:val="1C1918CE"/>
    <w:rsid w:val="1C422BD3"/>
    <w:rsid w:val="1C6E1C1A"/>
    <w:rsid w:val="1CE7730C"/>
    <w:rsid w:val="1D710085"/>
    <w:rsid w:val="1E1660C5"/>
    <w:rsid w:val="1E214A6A"/>
    <w:rsid w:val="1E6C2189"/>
    <w:rsid w:val="1EDF295B"/>
    <w:rsid w:val="1F2B5BA0"/>
    <w:rsid w:val="1F4D53C4"/>
    <w:rsid w:val="1FA31BDA"/>
    <w:rsid w:val="1FAD0CAB"/>
    <w:rsid w:val="1FB913FE"/>
    <w:rsid w:val="20112FE8"/>
    <w:rsid w:val="20126D60"/>
    <w:rsid w:val="20825C93"/>
    <w:rsid w:val="20B87907"/>
    <w:rsid w:val="20DC7510"/>
    <w:rsid w:val="20F46465"/>
    <w:rsid w:val="215018EE"/>
    <w:rsid w:val="215A09BE"/>
    <w:rsid w:val="224B0307"/>
    <w:rsid w:val="22DF561F"/>
    <w:rsid w:val="2322550C"/>
    <w:rsid w:val="232C0139"/>
    <w:rsid w:val="23606FDC"/>
    <w:rsid w:val="23614286"/>
    <w:rsid w:val="23A233FC"/>
    <w:rsid w:val="241E3F25"/>
    <w:rsid w:val="243A0633"/>
    <w:rsid w:val="245F009A"/>
    <w:rsid w:val="246B6A3F"/>
    <w:rsid w:val="24E011DB"/>
    <w:rsid w:val="253B28B5"/>
    <w:rsid w:val="256C6F12"/>
    <w:rsid w:val="25A55F80"/>
    <w:rsid w:val="25B82157"/>
    <w:rsid w:val="26013AFE"/>
    <w:rsid w:val="26321F0A"/>
    <w:rsid w:val="266C34D8"/>
    <w:rsid w:val="26C2328E"/>
    <w:rsid w:val="26D7660D"/>
    <w:rsid w:val="273E043A"/>
    <w:rsid w:val="278E4F1E"/>
    <w:rsid w:val="280E605F"/>
    <w:rsid w:val="28355CE1"/>
    <w:rsid w:val="285048C9"/>
    <w:rsid w:val="28AC5FA3"/>
    <w:rsid w:val="28D177B8"/>
    <w:rsid w:val="29FA4AED"/>
    <w:rsid w:val="2A2F3CB2"/>
    <w:rsid w:val="2A336250"/>
    <w:rsid w:val="2A465F84"/>
    <w:rsid w:val="2A9F5694"/>
    <w:rsid w:val="2B4D3342"/>
    <w:rsid w:val="2B65243A"/>
    <w:rsid w:val="2B807133"/>
    <w:rsid w:val="2B937144"/>
    <w:rsid w:val="2BD96984"/>
    <w:rsid w:val="2BFA5278"/>
    <w:rsid w:val="2C5C1A8E"/>
    <w:rsid w:val="2CA174A1"/>
    <w:rsid w:val="2CC47634"/>
    <w:rsid w:val="2CF41CC7"/>
    <w:rsid w:val="2CFE66A2"/>
    <w:rsid w:val="2D6C3F53"/>
    <w:rsid w:val="2D713318"/>
    <w:rsid w:val="2D7B1F92"/>
    <w:rsid w:val="2DB94CBF"/>
    <w:rsid w:val="2E982B26"/>
    <w:rsid w:val="2F1403FE"/>
    <w:rsid w:val="2F245151"/>
    <w:rsid w:val="2F4A02C4"/>
    <w:rsid w:val="307355F9"/>
    <w:rsid w:val="30AA44A5"/>
    <w:rsid w:val="30C6397A"/>
    <w:rsid w:val="30EB33E1"/>
    <w:rsid w:val="31142D7A"/>
    <w:rsid w:val="31973569"/>
    <w:rsid w:val="32130E41"/>
    <w:rsid w:val="324C4353"/>
    <w:rsid w:val="32C1089D"/>
    <w:rsid w:val="33370B5F"/>
    <w:rsid w:val="33811DDB"/>
    <w:rsid w:val="343E5F1E"/>
    <w:rsid w:val="344F1ED9"/>
    <w:rsid w:val="348953EB"/>
    <w:rsid w:val="348C0A37"/>
    <w:rsid w:val="34D128EE"/>
    <w:rsid w:val="34E24AFB"/>
    <w:rsid w:val="350C3926"/>
    <w:rsid w:val="355F7EFA"/>
    <w:rsid w:val="35A97F0E"/>
    <w:rsid w:val="35C360C5"/>
    <w:rsid w:val="35F9034E"/>
    <w:rsid w:val="36025094"/>
    <w:rsid w:val="36441CA4"/>
    <w:rsid w:val="365F6732"/>
    <w:rsid w:val="368756D2"/>
    <w:rsid w:val="36BB1AA7"/>
    <w:rsid w:val="36EC570D"/>
    <w:rsid w:val="36FD7281"/>
    <w:rsid w:val="370C1479"/>
    <w:rsid w:val="37160A8C"/>
    <w:rsid w:val="37441A9D"/>
    <w:rsid w:val="378400EB"/>
    <w:rsid w:val="378B3228"/>
    <w:rsid w:val="387463B2"/>
    <w:rsid w:val="38877E93"/>
    <w:rsid w:val="38EA6674"/>
    <w:rsid w:val="39205BF2"/>
    <w:rsid w:val="39DF3CFF"/>
    <w:rsid w:val="3AB35002"/>
    <w:rsid w:val="3B2C6AD0"/>
    <w:rsid w:val="3B450A85"/>
    <w:rsid w:val="3B950B19"/>
    <w:rsid w:val="3C9844FD"/>
    <w:rsid w:val="3D023F8C"/>
    <w:rsid w:val="3D2A34E3"/>
    <w:rsid w:val="3E0C4997"/>
    <w:rsid w:val="3E444130"/>
    <w:rsid w:val="3E5500EC"/>
    <w:rsid w:val="3EE07560"/>
    <w:rsid w:val="3EE91A20"/>
    <w:rsid w:val="3F6C1B91"/>
    <w:rsid w:val="3FAF1A7E"/>
    <w:rsid w:val="404E573A"/>
    <w:rsid w:val="4093139F"/>
    <w:rsid w:val="41421E90"/>
    <w:rsid w:val="420460B1"/>
    <w:rsid w:val="42733236"/>
    <w:rsid w:val="42862F6A"/>
    <w:rsid w:val="42C65A5C"/>
    <w:rsid w:val="437245AF"/>
    <w:rsid w:val="43BB4E95"/>
    <w:rsid w:val="440B5E1C"/>
    <w:rsid w:val="440F72B8"/>
    <w:rsid w:val="444E7AB7"/>
    <w:rsid w:val="44CD4E80"/>
    <w:rsid w:val="44D81A76"/>
    <w:rsid w:val="458F0387"/>
    <w:rsid w:val="45CF2E79"/>
    <w:rsid w:val="45E83F3B"/>
    <w:rsid w:val="45F3312A"/>
    <w:rsid w:val="4685178A"/>
    <w:rsid w:val="46957C1F"/>
    <w:rsid w:val="470E1780"/>
    <w:rsid w:val="4766336A"/>
    <w:rsid w:val="47952AA8"/>
    <w:rsid w:val="47BC742D"/>
    <w:rsid w:val="483C0192"/>
    <w:rsid w:val="485853A8"/>
    <w:rsid w:val="488B752C"/>
    <w:rsid w:val="48AC1250"/>
    <w:rsid w:val="490E1F0B"/>
    <w:rsid w:val="494B0A69"/>
    <w:rsid w:val="497074B0"/>
    <w:rsid w:val="49DC7913"/>
    <w:rsid w:val="49EF3AEA"/>
    <w:rsid w:val="4A043D0F"/>
    <w:rsid w:val="4A4756D4"/>
    <w:rsid w:val="4A757FD0"/>
    <w:rsid w:val="4A9B157C"/>
    <w:rsid w:val="4AD827D0"/>
    <w:rsid w:val="4AE61FD9"/>
    <w:rsid w:val="4B4E65EF"/>
    <w:rsid w:val="4B8D35BB"/>
    <w:rsid w:val="4BF54CBC"/>
    <w:rsid w:val="4C237A7B"/>
    <w:rsid w:val="4C7C7D40"/>
    <w:rsid w:val="4CBD19B8"/>
    <w:rsid w:val="4CC90623"/>
    <w:rsid w:val="4CE0771A"/>
    <w:rsid w:val="4CEC60BF"/>
    <w:rsid w:val="4E1458CD"/>
    <w:rsid w:val="4E683E6B"/>
    <w:rsid w:val="4EEF633A"/>
    <w:rsid w:val="4F135B85"/>
    <w:rsid w:val="4F1D4C56"/>
    <w:rsid w:val="4F5F701C"/>
    <w:rsid w:val="4F622668"/>
    <w:rsid w:val="4FA42C81"/>
    <w:rsid w:val="4FB37368"/>
    <w:rsid w:val="4FCC21D8"/>
    <w:rsid w:val="4FCE41A2"/>
    <w:rsid w:val="4FDF1F0B"/>
    <w:rsid w:val="4FF37764"/>
    <w:rsid w:val="503A35E5"/>
    <w:rsid w:val="515D57DD"/>
    <w:rsid w:val="51621046"/>
    <w:rsid w:val="51A72EFC"/>
    <w:rsid w:val="520B348B"/>
    <w:rsid w:val="520E3758"/>
    <w:rsid w:val="528B1ED6"/>
    <w:rsid w:val="529C2335"/>
    <w:rsid w:val="52B15DE1"/>
    <w:rsid w:val="52DB2E5E"/>
    <w:rsid w:val="532C5467"/>
    <w:rsid w:val="53607807"/>
    <w:rsid w:val="537137C2"/>
    <w:rsid w:val="53766B8D"/>
    <w:rsid w:val="543A1E06"/>
    <w:rsid w:val="543C792C"/>
    <w:rsid w:val="54C6369A"/>
    <w:rsid w:val="55E92BB7"/>
    <w:rsid w:val="562C1C22"/>
    <w:rsid w:val="565C42B5"/>
    <w:rsid w:val="56BA0FDC"/>
    <w:rsid w:val="579D4B86"/>
    <w:rsid w:val="580E7831"/>
    <w:rsid w:val="580F7106"/>
    <w:rsid w:val="58F12F18"/>
    <w:rsid w:val="59D625D1"/>
    <w:rsid w:val="5A7B6CD4"/>
    <w:rsid w:val="5AB53F94"/>
    <w:rsid w:val="5B3465E0"/>
    <w:rsid w:val="5BD668B8"/>
    <w:rsid w:val="5BF44F90"/>
    <w:rsid w:val="5BF94355"/>
    <w:rsid w:val="5BFB631F"/>
    <w:rsid w:val="5C50666A"/>
    <w:rsid w:val="5D131446"/>
    <w:rsid w:val="5D3D64C3"/>
    <w:rsid w:val="5D3F223B"/>
    <w:rsid w:val="5D4305BE"/>
    <w:rsid w:val="5D8365CC"/>
    <w:rsid w:val="5DF43025"/>
    <w:rsid w:val="5E3835C9"/>
    <w:rsid w:val="5E75544C"/>
    <w:rsid w:val="5E9465B6"/>
    <w:rsid w:val="5EA06D09"/>
    <w:rsid w:val="5EB84053"/>
    <w:rsid w:val="5EE906B0"/>
    <w:rsid w:val="5EFA466C"/>
    <w:rsid w:val="5F36467F"/>
    <w:rsid w:val="5F88611B"/>
    <w:rsid w:val="60B82A30"/>
    <w:rsid w:val="60C969EB"/>
    <w:rsid w:val="61444AC7"/>
    <w:rsid w:val="618D37CD"/>
    <w:rsid w:val="61C84EF5"/>
    <w:rsid w:val="633234DD"/>
    <w:rsid w:val="639037F0"/>
    <w:rsid w:val="63C31934"/>
    <w:rsid w:val="63E853DA"/>
    <w:rsid w:val="646B1B68"/>
    <w:rsid w:val="64C71494"/>
    <w:rsid w:val="650F6DBC"/>
    <w:rsid w:val="65271F32"/>
    <w:rsid w:val="652A5885"/>
    <w:rsid w:val="65B26C0A"/>
    <w:rsid w:val="65B71508"/>
    <w:rsid w:val="6615622F"/>
    <w:rsid w:val="667A42E4"/>
    <w:rsid w:val="66F45E44"/>
    <w:rsid w:val="672F2F4F"/>
    <w:rsid w:val="67C43A69"/>
    <w:rsid w:val="67CA4DF7"/>
    <w:rsid w:val="67E660D5"/>
    <w:rsid w:val="67FA56DC"/>
    <w:rsid w:val="68757459"/>
    <w:rsid w:val="68AD274F"/>
    <w:rsid w:val="68BE2BAE"/>
    <w:rsid w:val="68C63810"/>
    <w:rsid w:val="69C75A92"/>
    <w:rsid w:val="6A084512"/>
    <w:rsid w:val="6A617C95"/>
    <w:rsid w:val="6B6A2B79"/>
    <w:rsid w:val="6BB87D88"/>
    <w:rsid w:val="6BCE4EB6"/>
    <w:rsid w:val="6C283E91"/>
    <w:rsid w:val="6C726189"/>
    <w:rsid w:val="6C81461E"/>
    <w:rsid w:val="6CCB7647"/>
    <w:rsid w:val="6D5B6C1D"/>
    <w:rsid w:val="6D741A8D"/>
    <w:rsid w:val="6DAA1953"/>
    <w:rsid w:val="6DF332FA"/>
    <w:rsid w:val="6E105C5A"/>
    <w:rsid w:val="6E1F40EF"/>
    <w:rsid w:val="6EA63EC8"/>
    <w:rsid w:val="6EA75E92"/>
    <w:rsid w:val="6EF966EE"/>
    <w:rsid w:val="6F4B354E"/>
    <w:rsid w:val="6F8D32DA"/>
    <w:rsid w:val="706E4EB9"/>
    <w:rsid w:val="70CC1BE0"/>
    <w:rsid w:val="714D4ACF"/>
    <w:rsid w:val="72255A4C"/>
    <w:rsid w:val="730E4732"/>
    <w:rsid w:val="734D525A"/>
    <w:rsid w:val="73707129"/>
    <w:rsid w:val="738676F0"/>
    <w:rsid w:val="73E060CE"/>
    <w:rsid w:val="74E3403A"/>
    <w:rsid w:val="75412B9C"/>
    <w:rsid w:val="759E7FEF"/>
    <w:rsid w:val="76260573"/>
    <w:rsid w:val="767945B8"/>
    <w:rsid w:val="76D637B8"/>
    <w:rsid w:val="76DD68F5"/>
    <w:rsid w:val="77E536B1"/>
    <w:rsid w:val="7804198A"/>
    <w:rsid w:val="789254BD"/>
    <w:rsid w:val="78986F77"/>
    <w:rsid w:val="78EA70A7"/>
    <w:rsid w:val="79336CA0"/>
    <w:rsid w:val="7A052DF2"/>
    <w:rsid w:val="7A140880"/>
    <w:rsid w:val="7A772BBC"/>
    <w:rsid w:val="7A9C2623"/>
    <w:rsid w:val="7B160627"/>
    <w:rsid w:val="7B315461"/>
    <w:rsid w:val="7B3A2568"/>
    <w:rsid w:val="7B6E3FBF"/>
    <w:rsid w:val="7B9559F0"/>
    <w:rsid w:val="7BAB0D70"/>
    <w:rsid w:val="7C136915"/>
    <w:rsid w:val="7C8F0691"/>
    <w:rsid w:val="7CE34539"/>
    <w:rsid w:val="7D733B0F"/>
    <w:rsid w:val="7DFA7D8C"/>
    <w:rsid w:val="7E064983"/>
    <w:rsid w:val="7E066731"/>
    <w:rsid w:val="7E260B81"/>
    <w:rsid w:val="7E394D59"/>
    <w:rsid w:val="7EFC12DD"/>
    <w:rsid w:val="7F2C0419"/>
    <w:rsid w:val="7F695CCD"/>
    <w:rsid w:val="7F7911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黑体" w:asciiTheme="minorHAnsi" w:hAnsiTheme="minorHAnsi" w:eastAsiaTheme="minorEastAsia"/>
      <w:spacing w:val="-6"/>
      <w:kern w:val="2"/>
      <w:sz w:val="21"/>
      <w:szCs w:val="30"/>
      <w:lang w:val="en-US" w:eastAsia="zh-CN" w:bidi="ar-SA"/>
    </w:rPr>
  </w:style>
  <w:style w:type="paragraph" w:styleId="2">
    <w:name w:val="heading 1"/>
    <w:basedOn w:val="1"/>
    <w:next w:val="1"/>
    <w:link w:val="9"/>
    <w:qFormat/>
    <w:uiPriority w:val="0"/>
    <w:pPr>
      <w:keepNext/>
      <w:keepLines/>
      <w:spacing w:before="120" w:after="120"/>
      <w:outlineLvl w:val="0"/>
    </w:pPr>
    <w:rPr>
      <w:b/>
      <w:kern w:val="44"/>
      <w:sz w:val="24"/>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
    <w:name w:val="Table Normal"/>
    <w:semiHidden/>
    <w:unhideWhenUsed/>
    <w:qFormat/>
    <w:uiPriority w:val="0"/>
    <w:tblPr>
      <w:tblCellMar>
        <w:top w:w="0" w:type="dxa"/>
        <w:left w:w="0" w:type="dxa"/>
        <w:bottom w:w="0" w:type="dxa"/>
        <w:right w:w="0" w:type="dxa"/>
      </w:tblCellMar>
    </w:tblPr>
  </w:style>
  <w:style w:type="character" w:customStyle="1" w:styleId="9">
    <w:name w:val="标题 1 字符"/>
    <w:link w:val="2"/>
    <w:qFormat/>
    <w:uiPriority w:val="0"/>
    <w:rPr>
      <w:b/>
      <w:kern w:val="44"/>
      <w:sz w:val="24"/>
    </w:rPr>
  </w:style>
  <w:style w:type="paragraph" w:customStyle="1" w:styleId="10">
    <w:name w:val="Table Paragraph"/>
    <w:basedOn w:val="1"/>
    <w:qFormat/>
    <w:uiPriority w:val="1"/>
    <w:pPr>
      <w:autoSpaceDE w:val="0"/>
      <w:autoSpaceDN w:val="0"/>
      <w:adjustRightInd w:val="0"/>
      <w:jc w:val="left"/>
    </w:pPr>
    <w:rPr>
      <w:rFonts w:ascii="Times New Roman" w:hAnsi="Times New Roman" w:cs="Times New Roman"/>
      <w:kern w:val="0"/>
      <w:sz w:val="24"/>
      <w:szCs w:val="24"/>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header1.xml" Type="http://schemas.openxmlformats.org/officeDocument/2006/relationships/header"/><Relationship Id="rId4" Target="theme/theme1.xml" Type="http://schemas.openxmlformats.org/officeDocument/2006/relationships/theme"/><Relationship Id="rId5" Target="../customXml/item1.xml" Type="http://schemas.openxmlformats.org/officeDocument/2006/relationships/customXml"/><Relationship Id="rId6"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4266</Words>
  <Characters>5300</Characters>
  <Lines>0</Lines>
  <Paragraphs>0</Paragraphs>
  <TotalTime>2</TotalTime>
  <ScaleCrop>false</ScaleCrop>
  <LinksUpToDate>false</LinksUpToDate>
  <CharactersWithSpaces>5751</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2022-12-05T08:44:00Z</dcterms:created>
  <dc:creator>nicef</dc:creator>
  <cp:lastModifiedBy>Administrator</cp:lastModifiedBy>
  <dcterms:modified xsi:type="dcterms:W3CDTF">2025-09-18T08:36:13Z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03F7455746F3495C9B5A99ADF9266AB9</vt:lpwstr>
  </property>
</Properties>
</file>